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5" w:type="dxa"/>
        <w:jc w:val="center"/>
        <w:tblLook w:val="01E0" w:firstRow="1" w:lastRow="1" w:firstColumn="1" w:lastColumn="1" w:noHBand="0" w:noVBand="0"/>
      </w:tblPr>
      <w:tblGrid>
        <w:gridCol w:w="4395"/>
        <w:gridCol w:w="5850"/>
      </w:tblGrid>
      <w:tr w:rsidR="004E4CE4" w:rsidRPr="004E4CE4" w14:paraId="22416B1C" w14:textId="77777777" w:rsidTr="0078213A">
        <w:trPr>
          <w:jc w:val="center"/>
        </w:trPr>
        <w:tc>
          <w:tcPr>
            <w:tcW w:w="4395" w:type="dxa"/>
          </w:tcPr>
          <w:p w14:paraId="1ADDD265" w14:textId="6B3E8757" w:rsidR="0047550C" w:rsidRPr="004E4CE4" w:rsidRDefault="0047550C" w:rsidP="00197149">
            <w:pPr>
              <w:jc w:val="center"/>
              <w:rPr>
                <w:sz w:val="26"/>
                <w:szCs w:val="26"/>
              </w:rPr>
            </w:pPr>
            <w:r w:rsidRPr="004E4CE4">
              <w:rPr>
                <w:sz w:val="26"/>
                <w:szCs w:val="26"/>
              </w:rPr>
              <w:t>BỘ Y TẾ</w:t>
            </w:r>
          </w:p>
        </w:tc>
        <w:tc>
          <w:tcPr>
            <w:tcW w:w="5850" w:type="dxa"/>
          </w:tcPr>
          <w:p w14:paraId="4ADD2E2E" w14:textId="77777777" w:rsidR="0047550C" w:rsidRPr="004E4CE4" w:rsidRDefault="0047550C" w:rsidP="00197149">
            <w:pPr>
              <w:jc w:val="center"/>
              <w:rPr>
                <w:b/>
                <w:sz w:val="26"/>
                <w:szCs w:val="26"/>
              </w:rPr>
            </w:pPr>
            <w:r w:rsidRPr="004E4CE4">
              <w:rPr>
                <w:b/>
                <w:sz w:val="26"/>
                <w:szCs w:val="26"/>
              </w:rPr>
              <w:t>CỘNG HÒA XÃ HỘI CHỦ NGHĨA VIỆT NAM</w:t>
            </w:r>
          </w:p>
        </w:tc>
      </w:tr>
      <w:tr w:rsidR="004E4CE4" w:rsidRPr="004E4CE4" w14:paraId="312A30CF" w14:textId="77777777" w:rsidTr="0078213A">
        <w:trPr>
          <w:jc w:val="center"/>
        </w:trPr>
        <w:tc>
          <w:tcPr>
            <w:tcW w:w="4395" w:type="dxa"/>
          </w:tcPr>
          <w:p w14:paraId="42B6E731" w14:textId="0ADF2F12" w:rsidR="0047550C" w:rsidRPr="004E4CE4" w:rsidRDefault="0078213A" w:rsidP="00197149">
            <w:pPr>
              <w:jc w:val="center"/>
              <w:rPr>
                <w:b/>
                <w:sz w:val="26"/>
                <w:szCs w:val="26"/>
              </w:rPr>
            </w:pPr>
            <w:r w:rsidRPr="004E4CE4">
              <w:rPr>
                <w:b/>
                <w:sz w:val="26"/>
                <w:szCs w:val="26"/>
              </w:rPr>
              <w:t>CỤC HẠ TẦNG VÀ THIẾT BỊ Y TẾ</w:t>
            </w:r>
          </w:p>
        </w:tc>
        <w:tc>
          <w:tcPr>
            <w:tcW w:w="5850" w:type="dxa"/>
          </w:tcPr>
          <w:p w14:paraId="7DD00A5B" w14:textId="77777777" w:rsidR="0047550C" w:rsidRPr="004E4CE4" w:rsidRDefault="0047550C" w:rsidP="00197149">
            <w:pPr>
              <w:jc w:val="center"/>
              <w:rPr>
                <w:b/>
              </w:rPr>
            </w:pPr>
            <w:r w:rsidRPr="004E4CE4">
              <w:rPr>
                <w:b/>
              </w:rPr>
              <w:t xml:space="preserve">   Độc lập – Tự do – Hạnh phúc</w:t>
            </w:r>
          </w:p>
        </w:tc>
      </w:tr>
      <w:tr w:rsidR="004E4CE4" w:rsidRPr="004E4CE4" w14:paraId="64813A55" w14:textId="77777777" w:rsidTr="0078213A">
        <w:trPr>
          <w:jc w:val="center"/>
        </w:trPr>
        <w:tc>
          <w:tcPr>
            <w:tcW w:w="4395" w:type="dxa"/>
          </w:tcPr>
          <w:p w14:paraId="3A9F3078" w14:textId="07EDC67C" w:rsidR="0047550C" w:rsidRPr="004E4CE4" w:rsidRDefault="00A05706" w:rsidP="00197149">
            <w:pPr>
              <w:rPr>
                <w:b/>
              </w:rPr>
            </w:pPr>
            <w:r w:rsidRPr="004E4CE4">
              <w:rPr>
                <w:noProof/>
                <w:szCs w:val="24"/>
              </w:rPr>
              <mc:AlternateContent>
                <mc:Choice Requires="wps">
                  <w:drawing>
                    <wp:anchor distT="0" distB="0" distL="114300" distR="114300" simplePos="0" relativeHeight="251658752" behindDoc="0" locked="0" layoutInCell="1" allowOverlap="1" wp14:anchorId="27309F39" wp14:editId="467550BD">
                      <wp:simplePos x="0" y="0"/>
                      <wp:positionH relativeFrom="column">
                        <wp:posOffset>833120</wp:posOffset>
                      </wp:positionH>
                      <wp:positionV relativeFrom="paragraph">
                        <wp:posOffset>47625</wp:posOffset>
                      </wp:positionV>
                      <wp:extent cx="1002030" cy="0"/>
                      <wp:effectExtent l="0" t="0" r="2667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CE81"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3.75pt" to="14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h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WZpO0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"/>
                  </w:pict>
                </mc:Fallback>
              </mc:AlternateContent>
            </w:r>
          </w:p>
        </w:tc>
        <w:tc>
          <w:tcPr>
            <w:tcW w:w="5850" w:type="dxa"/>
          </w:tcPr>
          <w:p w14:paraId="08133913" w14:textId="239E624D" w:rsidR="0047550C" w:rsidRPr="004E4CE4" w:rsidRDefault="00A05706" w:rsidP="00197149">
            <w:pPr>
              <w:jc w:val="center"/>
              <w:rPr>
                <w:b/>
              </w:rPr>
            </w:pPr>
            <w:r w:rsidRPr="004E4CE4">
              <w:rPr>
                <w:noProof/>
                <w:szCs w:val="24"/>
              </w:rPr>
              <mc:AlternateContent>
                <mc:Choice Requires="wps">
                  <w:drawing>
                    <wp:anchor distT="0" distB="0" distL="114300" distR="114300" simplePos="0" relativeHeight="251657728" behindDoc="0" locked="0" layoutInCell="1" allowOverlap="1" wp14:anchorId="6701DD8D" wp14:editId="4D9D59F1">
                      <wp:simplePos x="0" y="0"/>
                      <wp:positionH relativeFrom="column">
                        <wp:posOffset>746125</wp:posOffset>
                      </wp:positionH>
                      <wp:positionV relativeFrom="paragraph">
                        <wp:posOffset>41275</wp:posOffset>
                      </wp:positionV>
                      <wp:extent cx="2216150" cy="0"/>
                      <wp:effectExtent l="0" t="0" r="3175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562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25pt" to="233.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S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"/>
                  </w:pict>
                </mc:Fallback>
              </mc:AlternateContent>
            </w:r>
          </w:p>
        </w:tc>
      </w:tr>
      <w:tr w:rsidR="004E4CE4" w:rsidRPr="004E4CE4" w14:paraId="34B9A134" w14:textId="77777777" w:rsidTr="0078213A">
        <w:trPr>
          <w:jc w:val="center"/>
        </w:trPr>
        <w:tc>
          <w:tcPr>
            <w:tcW w:w="4395" w:type="dxa"/>
          </w:tcPr>
          <w:p w14:paraId="4CA7C411" w14:textId="02CC81A4" w:rsidR="0047550C" w:rsidRPr="004E4CE4" w:rsidRDefault="0047550C" w:rsidP="00197149">
            <w:pPr>
              <w:jc w:val="center"/>
            </w:pPr>
            <w:r w:rsidRPr="004E4CE4">
              <w:t>Số:          /</w:t>
            </w:r>
            <w:r w:rsidR="00B965FC" w:rsidRPr="004E4CE4">
              <w:t>TTr-</w:t>
            </w:r>
            <w:r w:rsidR="0078213A" w:rsidRPr="004E4CE4">
              <w:t>HTTB</w:t>
            </w:r>
          </w:p>
          <w:p w14:paraId="5B199D4F" w14:textId="344115EE" w:rsidR="0047550C" w:rsidRPr="004E4CE4" w:rsidRDefault="00C2366D" w:rsidP="00197149">
            <w:pPr>
              <w:jc w:val="center"/>
            </w:pPr>
            <w:r w:rsidRPr="001C6336">
              <w:rPr>
                <w:noProof/>
              </w:rPr>
              <mc:AlternateContent>
                <mc:Choice Requires="wps">
                  <w:drawing>
                    <wp:anchor distT="0" distB="0" distL="114300" distR="114300" simplePos="0" relativeHeight="251660800" behindDoc="0" locked="0" layoutInCell="1" allowOverlap="1" wp14:anchorId="57C491F2" wp14:editId="205467D3">
                      <wp:simplePos x="0" y="0"/>
                      <wp:positionH relativeFrom="column">
                        <wp:posOffset>560705</wp:posOffset>
                      </wp:positionH>
                      <wp:positionV relativeFrom="paragraph">
                        <wp:posOffset>22860</wp:posOffset>
                      </wp:positionV>
                      <wp:extent cx="1529080" cy="307975"/>
                      <wp:effectExtent l="0" t="0" r="0" b="0"/>
                      <wp:wrapNone/>
                      <wp:docPr id="1292625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307975"/>
                              </a:xfrm>
                              <a:prstGeom prst="rect">
                                <a:avLst/>
                              </a:prstGeom>
                              <a:solidFill>
                                <a:srgbClr val="FFFFFF"/>
                              </a:solidFill>
                              <a:ln w="9525">
                                <a:solidFill>
                                  <a:srgbClr val="000000"/>
                                </a:solidFill>
                                <a:miter lim="800000"/>
                              </a:ln>
                            </wps:spPr>
                            <wps:txbx>
                              <w:txbxContent>
                                <w:p w14:paraId="7474ED7D" w14:textId="7A55D57E" w:rsidR="00C2366D" w:rsidRDefault="00C2366D" w:rsidP="00C2366D">
                                  <w:pPr>
                                    <w:jc w:val="center"/>
                                    <w:rPr>
                                      <w:b/>
                                    </w:rPr>
                                  </w:pPr>
                                  <w:r w:rsidRPr="00485D7A">
                                    <w:rPr>
                                      <w:b/>
                                    </w:rPr>
                                    <w:t xml:space="preserve">DỰ THẢO </w:t>
                                  </w:r>
                                  <w:r>
                                    <w:rPr>
                                      <w:b/>
                                    </w:rPr>
                                    <w:t>1</w:t>
                                  </w:r>
                                  <w:r w:rsidR="00FB4466">
                                    <w:rPr>
                                      <w:b/>
                                    </w:rPr>
                                    <w:t>9</w:t>
                                  </w:r>
                                  <w:r w:rsidRPr="00485D7A">
                                    <w:rPr>
                                      <w:b/>
                                    </w:rPr>
                                    <w:t>.</w:t>
                                  </w:r>
                                  <w:r>
                                    <w:rPr>
                                      <w:b/>
                                    </w:rPr>
                                    <w:t>06</w:t>
                                  </w:r>
                                </w:p>
                                <w:p w14:paraId="44C7D164" w14:textId="77777777" w:rsidR="00C2366D" w:rsidRDefault="00C2366D" w:rsidP="00C2366D">
                                  <w:pPr>
                                    <w:jc w:val="center"/>
                                    <w:rPr>
                                      <w:b/>
                                    </w:rPr>
                                  </w:pPr>
                                  <w:r w:rsidRPr="00485D7A">
                                    <w:rPr>
                                      <w:b/>
                                    </w:rPr>
                                    <w:t>11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7C491F2" id="_x0000_t202" coordsize="21600,21600" o:spt="202" path="m,l,21600r21600,l21600,xe">
                      <v:stroke joinstyle="miter"/>
                      <v:path gradientshapeok="t" o:connecttype="rect"/>
                    </v:shapetype>
                    <v:shape id="Text Box 3" o:spid="_x0000_s1026" type="#_x0000_t202" style="position:absolute;left:0;text-align:left;margin-left:44.15pt;margin-top:1.8pt;width:120.4pt;height:2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">
                      <v:textbox>
                        <w:txbxContent>
                          <w:p w14:paraId="7474ED7D" w14:textId="7A55D57E" w:rsidR="00C2366D" w:rsidRDefault="00C2366D" w:rsidP="00C2366D">
                            <w:pPr>
                              <w:jc w:val="center"/>
                              <w:rPr>
                                <w:b/>
                              </w:rPr>
                            </w:pPr>
                            <w:r w:rsidRPr="00485D7A">
                              <w:rPr>
                                <w:b/>
                              </w:rPr>
                              <w:t xml:space="preserve">DỰ THẢO </w:t>
                            </w:r>
                            <w:r>
                              <w:rPr>
                                <w:b/>
                              </w:rPr>
                              <w:t>1</w:t>
                            </w:r>
                            <w:r w:rsidR="00FB4466">
                              <w:rPr>
                                <w:b/>
                              </w:rPr>
                              <w:t>9</w:t>
                            </w:r>
                            <w:r w:rsidRPr="00485D7A">
                              <w:rPr>
                                <w:b/>
                              </w:rPr>
                              <w:t>.</w:t>
                            </w:r>
                            <w:r>
                              <w:rPr>
                                <w:b/>
                              </w:rPr>
                              <w:t>06</w:t>
                            </w:r>
                          </w:p>
                          <w:p w14:paraId="44C7D164" w14:textId="77777777" w:rsidR="00C2366D" w:rsidRDefault="00C2366D" w:rsidP="00C2366D">
                            <w:pPr>
                              <w:jc w:val="center"/>
                              <w:rPr>
                                <w:b/>
                              </w:rPr>
                            </w:pPr>
                            <w:r w:rsidRPr="00485D7A">
                              <w:rPr>
                                <w:b/>
                              </w:rPr>
                              <w:t>11</w:t>
                            </w:r>
                          </w:p>
                        </w:txbxContent>
                      </v:textbox>
                    </v:shape>
                  </w:pict>
                </mc:Fallback>
              </mc:AlternateContent>
            </w:r>
          </w:p>
        </w:tc>
        <w:tc>
          <w:tcPr>
            <w:tcW w:w="5850" w:type="dxa"/>
          </w:tcPr>
          <w:p w14:paraId="00B4D770" w14:textId="0F7DECF6" w:rsidR="0047550C" w:rsidRPr="004E4CE4" w:rsidRDefault="0047550C" w:rsidP="0078213A">
            <w:pPr>
              <w:pStyle w:val="Heading1"/>
              <w:spacing w:before="0" w:line="240" w:lineRule="auto"/>
              <w:rPr>
                <w:rFonts w:ascii="Times New Roman" w:hAnsi="Times New Roman"/>
                <w:b w:val="0"/>
                <w:i/>
                <w:sz w:val="28"/>
                <w:lang w:val="en-US"/>
              </w:rPr>
            </w:pPr>
            <w:r w:rsidRPr="004E4CE4">
              <w:rPr>
                <w:rFonts w:ascii="Times New Roman" w:hAnsi="Times New Roman"/>
                <w:b w:val="0"/>
                <w:i/>
                <w:sz w:val="28"/>
              </w:rPr>
              <w:t xml:space="preserve">         Hà Nội, ngày       tháng   </w:t>
            </w:r>
            <w:r w:rsidR="00F16DF8" w:rsidRPr="004E4CE4">
              <w:rPr>
                <w:rFonts w:ascii="Times New Roman" w:hAnsi="Times New Roman"/>
                <w:b w:val="0"/>
                <w:i/>
                <w:sz w:val="28"/>
                <w:lang w:val="en-US"/>
              </w:rPr>
              <w:t xml:space="preserve"> </w:t>
            </w:r>
            <w:r w:rsidRPr="004E4CE4">
              <w:rPr>
                <w:rFonts w:ascii="Times New Roman" w:hAnsi="Times New Roman"/>
                <w:b w:val="0"/>
                <w:i/>
                <w:sz w:val="28"/>
              </w:rPr>
              <w:t xml:space="preserve"> năm 20</w:t>
            </w:r>
            <w:r w:rsidR="00975A33" w:rsidRPr="004E4CE4">
              <w:rPr>
                <w:rFonts w:ascii="Times New Roman" w:hAnsi="Times New Roman"/>
                <w:b w:val="0"/>
                <w:i/>
                <w:sz w:val="28"/>
                <w:lang w:val="en-US"/>
              </w:rPr>
              <w:t>2</w:t>
            </w:r>
            <w:r w:rsidR="0078213A" w:rsidRPr="004E4CE4">
              <w:rPr>
                <w:rFonts w:ascii="Times New Roman" w:hAnsi="Times New Roman"/>
                <w:b w:val="0"/>
                <w:i/>
                <w:sz w:val="28"/>
                <w:lang w:val="en-US"/>
              </w:rPr>
              <w:t>5</w:t>
            </w:r>
          </w:p>
        </w:tc>
      </w:tr>
    </w:tbl>
    <w:p w14:paraId="506A269A" w14:textId="19BAF476" w:rsidR="006D3ADA" w:rsidRPr="004E4CE4" w:rsidRDefault="006D3ADA" w:rsidP="002D27BD">
      <w:pPr>
        <w:spacing w:before="120" w:line="276" w:lineRule="auto"/>
        <w:jc w:val="center"/>
        <w:rPr>
          <w:b/>
          <w:lang w:val="nl-NL"/>
        </w:rPr>
      </w:pPr>
      <w:r w:rsidRPr="004E4CE4">
        <w:rPr>
          <w:b/>
          <w:lang w:val="nl-NL"/>
        </w:rPr>
        <w:t>TỜ TRÌNH</w:t>
      </w:r>
    </w:p>
    <w:p w14:paraId="431E8C9A" w14:textId="03D7DA29" w:rsidR="000D09C0" w:rsidRPr="004E4CE4" w:rsidRDefault="000D09C0" w:rsidP="000D09C0">
      <w:pPr>
        <w:spacing w:line="276" w:lineRule="auto"/>
        <w:jc w:val="center"/>
        <w:rPr>
          <w:b/>
          <w:spacing w:val="-6"/>
          <w:lang w:val="nl-NL"/>
        </w:rPr>
      </w:pPr>
      <w:r w:rsidRPr="004E4CE4">
        <w:rPr>
          <w:b/>
          <w:spacing w:val="-6"/>
          <w:lang w:val="nl-NL"/>
        </w:rPr>
        <w:t xml:space="preserve">Về việc ban hành </w:t>
      </w:r>
      <w:r w:rsidRPr="000D09C0">
        <w:rPr>
          <w:b/>
          <w:spacing w:val="-6"/>
          <w:lang w:val="nl-NL"/>
        </w:rPr>
        <w:t xml:space="preserve">Thông tư </w:t>
      </w:r>
      <w:r w:rsidR="00C2366D">
        <w:rPr>
          <w:b/>
          <w:spacing w:val="-6"/>
          <w:lang w:val="nl-NL"/>
        </w:rPr>
        <w:t>q</w:t>
      </w:r>
      <w:r w:rsidR="00C2366D" w:rsidRPr="00C2366D">
        <w:rPr>
          <w:b/>
          <w:spacing w:val="-6"/>
          <w:lang w:val="nl-NL"/>
        </w:rPr>
        <w:t>uy định về xác định mức độ rủi ro, biện pháp quản lý đối với sản phẩm, hàng hóa là thiết bị y tế và tạm ngưng hiệu lực về danh mục thiết bị y tế phải kiểm định an toàn và tính năng kỹ thuật thiết bị y tế</w:t>
      </w:r>
    </w:p>
    <w:p w14:paraId="55785E94" w14:textId="306DB1AD" w:rsidR="002D27BD" w:rsidRPr="004E4CE4" w:rsidRDefault="00A05706" w:rsidP="00745CF1">
      <w:pPr>
        <w:spacing w:before="480" w:after="360"/>
        <w:ind w:left="2160" w:firstLine="720"/>
        <w:rPr>
          <w:rFonts w:eastAsia=".VnTime"/>
          <w:bCs/>
          <w:lang w:val="nl-NL"/>
        </w:rPr>
      </w:pPr>
      <w:r w:rsidRPr="004E4CE4">
        <w:rPr>
          <w:noProof/>
        </w:rPr>
        <mc:AlternateContent>
          <mc:Choice Requires="wps">
            <w:drawing>
              <wp:anchor distT="4294967295" distB="4294967295" distL="114300" distR="114300" simplePos="0" relativeHeight="251656704" behindDoc="0" locked="0" layoutInCell="1" allowOverlap="1" wp14:anchorId="289045B9" wp14:editId="41CF9583">
                <wp:simplePos x="0" y="0"/>
                <wp:positionH relativeFrom="column">
                  <wp:posOffset>2343150</wp:posOffset>
                </wp:positionH>
                <wp:positionV relativeFrom="paragraph">
                  <wp:posOffset>47624</wp:posOffset>
                </wp:positionV>
                <wp:extent cx="1031875" cy="0"/>
                <wp:effectExtent l="0" t="0" r="1587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77F04"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3.75pt" to="26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9G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aUP2exp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"/>
            </w:pict>
          </mc:Fallback>
        </mc:AlternateContent>
      </w:r>
      <w:r w:rsidR="00D16676" w:rsidRPr="004E4CE4">
        <w:rPr>
          <w:rFonts w:eastAsia=".VnTime"/>
          <w:bCs/>
          <w:lang w:val="nl-NL"/>
        </w:rPr>
        <w:t xml:space="preserve">Kính gửi: </w:t>
      </w:r>
      <w:r w:rsidR="00F42E83" w:rsidRPr="004E4CE4">
        <w:rPr>
          <w:rFonts w:eastAsia=".VnTime"/>
          <w:bCs/>
          <w:lang w:val="nl-NL"/>
        </w:rPr>
        <w:t xml:space="preserve"> </w:t>
      </w:r>
      <w:r w:rsidR="000D09C0">
        <w:rPr>
          <w:rFonts w:eastAsia=".VnTime"/>
          <w:bCs/>
          <w:lang w:val="nl-NL"/>
        </w:rPr>
        <w:t>Bộ trưởng</w:t>
      </w:r>
      <w:r w:rsidR="00F42E83" w:rsidRPr="004E4CE4">
        <w:rPr>
          <w:rFonts w:eastAsia=".VnTime"/>
          <w:bCs/>
          <w:lang w:val="nl-NL"/>
        </w:rPr>
        <w:t xml:space="preserve"> </w:t>
      </w:r>
      <w:r w:rsidR="00B0480A" w:rsidRPr="004E4CE4">
        <w:rPr>
          <w:rFonts w:eastAsia=".VnTime"/>
          <w:bCs/>
          <w:lang w:val="nl-NL"/>
        </w:rPr>
        <w:t>Bộ Y tế</w:t>
      </w:r>
    </w:p>
    <w:p w14:paraId="47D3369D" w14:textId="068652BB" w:rsidR="000D09C0" w:rsidRPr="00745CF1" w:rsidRDefault="002D27BD" w:rsidP="003C1269">
      <w:pPr>
        <w:spacing w:after="120"/>
        <w:ind w:firstLine="567"/>
        <w:jc w:val="both"/>
        <w:rPr>
          <w:rFonts w:eastAsia="MS Mincho"/>
        </w:rPr>
      </w:pPr>
      <w:r w:rsidRPr="00745CF1">
        <w:rPr>
          <w:rFonts w:eastAsia="MS Mincho"/>
        </w:rPr>
        <w:t>Thực hiện quy định của Luật Ban hành văn bản quy phạm pháp luật năm 2025</w:t>
      </w:r>
      <w:r w:rsidR="001471F4">
        <w:rPr>
          <w:rFonts w:eastAsia="MS Mincho"/>
        </w:rPr>
        <w:t xml:space="preserve">, </w:t>
      </w:r>
      <w:r w:rsidR="001471F4" w:rsidRPr="00BB2760">
        <w:rPr>
          <w:rFonts w:eastAsia="MS Mincho"/>
          <w:spacing w:val="-2"/>
        </w:rPr>
        <w:t>Luật Chất lượng sản phẩm, hàng hóa được sửa đổi, bổ sung năm 2025</w:t>
      </w:r>
      <w:r w:rsidRPr="00745CF1">
        <w:rPr>
          <w:rFonts w:eastAsia="MS Mincho"/>
          <w:lang w:val="vi-VN"/>
        </w:rPr>
        <w:t>;</w:t>
      </w:r>
      <w:r w:rsidRPr="00745CF1">
        <w:rPr>
          <w:rFonts w:eastAsia="MS Mincho"/>
        </w:rPr>
        <w:t xml:space="preserve"> </w:t>
      </w:r>
    </w:p>
    <w:p w14:paraId="0D62FAF9" w14:textId="04D64A00" w:rsidR="002F6750" w:rsidRPr="00745CF1" w:rsidRDefault="002D27BD" w:rsidP="003C1269">
      <w:pPr>
        <w:spacing w:after="120"/>
        <w:ind w:firstLine="567"/>
        <w:jc w:val="both"/>
      </w:pPr>
      <w:r w:rsidRPr="00745CF1">
        <w:rPr>
          <w:bCs/>
          <w:iCs/>
        </w:rPr>
        <w:t xml:space="preserve">Cục Hạ tầng và Thiết bị y tế (Cục HT&amp;TBYT) đã phối hợp với Vụ Pháp chế, Văn phòng Bộ Y tế và các đơn vị liên quan xây dựng dự thảo </w:t>
      </w:r>
      <w:r w:rsidR="001471F4">
        <w:rPr>
          <w:bCs/>
          <w:iCs/>
        </w:rPr>
        <w:t>“</w:t>
      </w:r>
      <w:r w:rsidR="001471F4" w:rsidRPr="001471F4">
        <w:rPr>
          <w:i/>
          <w:iCs/>
          <w:lang w:val="vi-VN"/>
        </w:rPr>
        <w:t>Thông tư quy định về xác định mức độ rủi ro, biện pháp quản lý đối với sản phẩm, hàng hóa là thiết bị y tế và tạm ngưng hiệu lực về danh mục thiết bị y tế phải kiểm định an toàn và tính năng kỹ thuật thiết bị y tế</w:t>
      </w:r>
      <w:r w:rsidR="001471F4">
        <w:rPr>
          <w:i/>
          <w:iCs/>
        </w:rPr>
        <w:t>”</w:t>
      </w:r>
      <w:r w:rsidRPr="00745CF1">
        <w:t xml:space="preserve">. Cục HT&amp;TBYT kính trình </w:t>
      </w:r>
      <w:r w:rsidR="000D09C0" w:rsidRPr="00745CF1">
        <w:t>Bộ</w:t>
      </w:r>
      <w:r w:rsidRPr="00745CF1">
        <w:t xml:space="preserve"> trưởng dự thảo Thông tư với những nội dung sau:</w:t>
      </w:r>
    </w:p>
    <w:p w14:paraId="1AF5BB85" w14:textId="40F13392" w:rsidR="002F6750" w:rsidRPr="00745CF1" w:rsidRDefault="002F6750" w:rsidP="003C1269">
      <w:pPr>
        <w:spacing w:after="120"/>
        <w:ind w:firstLine="567"/>
        <w:jc w:val="both"/>
        <w:rPr>
          <w:b/>
          <w:bCs/>
          <w:lang w:val="vi-VN"/>
        </w:rPr>
      </w:pPr>
      <w:r w:rsidRPr="00745CF1">
        <w:rPr>
          <w:b/>
          <w:bCs/>
          <w:lang w:val="nl-NL"/>
        </w:rPr>
        <w:t xml:space="preserve">I. SỰ CẦN THIẾT BAN HÀNH </w:t>
      </w:r>
      <w:r w:rsidR="00CE29DA" w:rsidRPr="00745CF1">
        <w:rPr>
          <w:b/>
          <w:bCs/>
          <w:lang w:val="vi-VN"/>
        </w:rPr>
        <w:t>VĂN BẢN</w:t>
      </w:r>
    </w:p>
    <w:p w14:paraId="078AD1E3" w14:textId="0221F1C0" w:rsidR="0082343C" w:rsidRPr="003C1269" w:rsidRDefault="0082343C" w:rsidP="003C1269">
      <w:pPr>
        <w:spacing w:after="120"/>
        <w:ind w:firstLine="567"/>
        <w:jc w:val="both"/>
        <w:rPr>
          <w:b/>
          <w:bCs/>
        </w:rPr>
      </w:pPr>
      <w:r w:rsidRPr="00745CF1">
        <w:rPr>
          <w:b/>
          <w:bCs/>
          <w:lang w:val="vi-VN"/>
        </w:rPr>
        <w:t xml:space="preserve">1. Cơ sở </w:t>
      </w:r>
      <w:r w:rsidR="00CE29DA" w:rsidRPr="00745CF1">
        <w:rPr>
          <w:b/>
          <w:bCs/>
          <w:lang w:val="vi-VN"/>
        </w:rPr>
        <w:t xml:space="preserve">chính trị, </w:t>
      </w:r>
      <w:r w:rsidRPr="00745CF1">
        <w:rPr>
          <w:b/>
          <w:bCs/>
          <w:lang w:val="vi-VN"/>
        </w:rPr>
        <w:t>pháp lý</w:t>
      </w:r>
      <w:r w:rsidR="003C1269">
        <w:rPr>
          <w:b/>
          <w:bCs/>
        </w:rPr>
        <w:t>:</w:t>
      </w:r>
    </w:p>
    <w:p w14:paraId="573F42C2" w14:textId="27304709" w:rsidR="003C1269" w:rsidRDefault="003C1269" w:rsidP="003C1269">
      <w:pPr>
        <w:spacing w:after="120"/>
        <w:ind w:firstLine="567"/>
        <w:jc w:val="both"/>
        <w:rPr>
          <w:b/>
          <w:i/>
        </w:rPr>
      </w:pPr>
      <w:r w:rsidRPr="00AA7A49">
        <w:rPr>
          <w:b/>
          <w:i/>
          <w:lang w:val="vi-VN"/>
        </w:rPr>
        <w:t>1.1. Về việc xác định mức độ rủi ro và biện pháp quản lý đối với sản phẩm, hàng hóa là thiết bị y tế:</w:t>
      </w:r>
    </w:p>
    <w:p w14:paraId="041901FC" w14:textId="77777777" w:rsidR="003C1269" w:rsidRDefault="003C1269" w:rsidP="003C1269">
      <w:pPr>
        <w:spacing w:after="120"/>
        <w:ind w:firstLine="567"/>
        <w:jc w:val="both"/>
      </w:pPr>
      <w:r>
        <w:t xml:space="preserve">Hiện tại có sự chưa đồng bộ trong việc phân loại rủi ro đối với thiết bị y tế và xác định biện pháp quản lý giữa pháp luật về </w:t>
      </w:r>
      <w:hyperlink r:id="rId8" w:tgtFrame="_blank" w:history="1">
        <w:r>
          <w:t>c</w:t>
        </w:r>
        <w:r w:rsidRPr="00AA7A49">
          <w:rPr>
            <w:lang w:val="vi-VN"/>
          </w:rPr>
          <w:t>hất lượng sản phẩm, hàng hóa</w:t>
        </w:r>
      </w:hyperlink>
      <w:r>
        <w:t xml:space="preserve"> (quy định tại </w:t>
      </w:r>
      <w:hyperlink r:id="rId9" w:tgtFrame="_blank" w:history="1">
        <w:r w:rsidRPr="00AA7A49">
          <w:rPr>
            <w:lang w:val="vi-VN"/>
          </w:rPr>
          <w:t>Luật Chất lượng sản phẩm, hàng hóa</w:t>
        </w:r>
      </w:hyperlink>
      <w:r>
        <w:t xml:space="preserve"> và </w:t>
      </w:r>
      <w:r w:rsidRPr="00AA7A49">
        <w:rPr>
          <w:lang w:val="vi-VN"/>
        </w:rPr>
        <w:t>Nghị định số 37/2026/NĐ-CP</w:t>
      </w:r>
      <w:r>
        <w:t>) và pháp luật về quản lý thiết bị y tế (quy định tại</w:t>
      </w:r>
      <w:r w:rsidRPr="00875E06">
        <w:rPr>
          <w:lang w:val="vi-VN"/>
        </w:rPr>
        <w:t xml:space="preserve"> </w:t>
      </w:r>
      <w:r w:rsidRPr="00AA7A49">
        <w:rPr>
          <w:lang w:val="vi-VN"/>
        </w:rPr>
        <w:t>Nghị định số 98/2021/NĐ-CP</w:t>
      </w:r>
      <w:r>
        <w:t>), cụ thể như sau:</w:t>
      </w:r>
    </w:p>
    <w:p w14:paraId="7693C4AD" w14:textId="4FC5183A" w:rsidR="003C1269" w:rsidRDefault="003C1269" w:rsidP="003C1269">
      <w:pPr>
        <w:spacing w:after="120"/>
        <w:ind w:firstLine="567"/>
        <w:jc w:val="both"/>
        <w:rPr>
          <w:i/>
          <w:iCs/>
          <w:lang w:val="nl-NL"/>
        </w:rPr>
      </w:pPr>
      <w:r>
        <w:rPr>
          <w:lang w:val="nl-NL"/>
        </w:rPr>
        <w:t>-</w:t>
      </w:r>
      <w:r w:rsidRPr="003C1269">
        <w:rPr>
          <w:lang w:val="nl-NL"/>
        </w:rPr>
        <w:t xml:space="preserve"> Ngày 23/01/2026, Chính phủ ban hành Nghị định số 37/2026/NĐ-CP quy định chi tiết một số điều và biện pháp để tổ chức, hướng dẫn thi hành </w:t>
      </w:r>
      <w:hyperlink r:id="rId10" w:tgtFrame="_blank" w:history="1">
        <w:r w:rsidRPr="003C1269">
          <w:rPr>
            <w:lang w:val="nl-NL"/>
          </w:rPr>
          <w:t>Luật Chất lượng sản phẩm, hàng hóa</w:t>
        </w:r>
      </w:hyperlink>
      <w:r w:rsidRPr="003C1269">
        <w:rPr>
          <w:lang w:val="nl-NL"/>
        </w:rPr>
        <w:t xml:space="preserve">; trong đó quy định việc phân loại chất lượng sản phẩm, hàng hóa theo 03 mức độ rủi ro (thấp, trung bình, cao) kèm biện pháp quản lý tương ứng dựa trên tiêu chuẩn và quy chuẩn kỹ thuật. Nghị định số 37/2026/NĐ-CP quy định các Bộ, ngành cần rà soát và ban hành </w:t>
      </w:r>
      <w:r>
        <w:rPr>
          <w:lang w:val="nl-NL"/>
        </w:rPr>
        <w:t>“</w:t>
      </w:r>
      <w:r w:rsidRPr="003C1269">
        <w:rPr>
          <w:i/>
          <w:iCs/>
          <w:lang w:val="nl-NL"/>
        </w:rPr>
        <w:t>Danh mục sản phẩm, hàng hóa có mức độ rủi ro trung bình, mức độ rủi ro cao kèm theo mã số HS … bảo đảm có hiệu lực thực hiện kể từ ngày 01/7/2026</w:t>
      </w:r>
      <w:r>
        <w:rPr>
          <w:i/>
          <w:iCs/>
          <w:lang w:val="nl-NL"/>
        </w:rPr>
        <w:t>”</w:t>
      </w:r>
      <w:r w:rsidRPr="003C1269">
        <w:rPr>
          <w:i/>
          <w:iCs/>
          <w:lang w:val="nl-NL"/>
        </w:rPr>
        <w:t>.</w:t>
      </w:r>
    </w:p>
    <w:p w14:paraId="2CD876DF" w14:textId="1D227ED5" w:rsidR="003C1269" w:rsidRPr="00875E06" w:rsidRDefault="003C1269" w:rsidP="003C1269">
      <w:pPr>
        <w:spacing w:after="120"/>
        <w:ind w:firstLine="567"/>
        <w:jc w:val="both"/>
        <w:rPr>
          <w:bCs/>
          <w:iCs/>
        </w:rPr>
      </w:pPr>
      <w:r>
        <w:rPr>
          <w:bCs/>
          <w:iCs/>
        </w:rPr>
        <w:t xml:space="preserve">- </w:t>
      </w:r>
      <w:r w:rsidR="001945A9">
        <w:rPr>
          <w:bCs/>
          <w:iCs/>
        </w:rPr>
        <w:t>Tuy nhiên, l</w:t>
      </w:r>
      <w:r>
        <w:rPr>
          <w:bCs/>
          <w:iCs/>
        </w:rPr>
        <w:t xml:space="preserve">ĩnh vực thiết bị y tế hiện đang thực hiện theo </w:t>
      </w:r>
      <w:r w:rsidRPr="00AA7A49">
        <w:rPr>
          <w:lang w:val="vi-VN"/>
        </w:rPr>
        <w:t>Nghị định số 98/2021/NĐ-CP quy định về quản lý thiết bị y tế (TBYT),</w:t>
      </w:r>
      <w:r>
        <w:t xml:space="preserve"> trong đó quy định </w:t>
      </w:r>
      <w:r w:rsidRPr="006E5102">
        <w:rPr>
          <w:lang w:val="vi-VN"/>
        </w:rPr>
        <w:t xml:space="preserve">phân loại TBYT theo 4 loại (A, B, C, D) dựa trên mức độ rủi ro tiềm ẩn liên quan đến thiết kế kỹ thuật và sản xuất các TBYT đó và biện pháp quản lý chất lượng tương </w:t>
      </w:r>
      <w:r w:rsidRPr="006E5102">
        <w:rPr>
          <w:lang w:val="vi-VN"/>
        </w:rPr>
        <w:lastRenderedPageBreak/>
        <w:t>ứng</w:t>
      </w:r>
      <w:r>
        <w:t xml:space="preserve"> dựa trên việc cấp giấy phép lưu hành hoặc công bố lưu hành. Việc phân loại quản lý TBYT như trên căn cứ theo </w:t>
      </w:r>
      <w:r w:rsidRPr="00AA7A49">
        <w:rPr>
          <w:lang w:val="vi-VN"/>
        </w:rPr>
        <w:t>Hiệp định ASEAN về hài hòa hóa trong quản lý thiết bị y tế (ASEAN Agrement on Medical Device Directive - AMDD)</w:t>
      </w:r>
      <w:r>
        <w:t xml:space="preserve"> và đang triển khai ổn định.</w:t>
      </w:r>
    </w:p>
    <w:p w14:paraId="061523AC" w14:textId="76408124" w:rsidR="003C1269" w:rsidRPr="006E5102" w:rsidRDefault="003C1269" w:rsidP="003C1269">
      <w:pPr>
        <w:spacing w:after="120"/>
        <w:ind w:firstLine="567"/>
        <w:jc w:val="both"/>
        <w:rPr>
          <w:b/>
          <w:i/>
          <w:lang w:val="vi-VN"/>
        </w:rPr>
      </w:pPr>
      <w:r w:rsidRPr="006E5102">
        <w:rPr>
          <w:b/>
          <w:i/>
          <w:lang w:val="vi-VN"/>
        </w:rPr>
        <w:t>1.2.</w:t>
      </w:r>
      <w:r w:rsidRPr="008532AF">
        <w:rPr>
          <w:b/>
          <w:i/>
          <w:lang w:val="vi-VN"/>
        </w:rPr>
        <w:t xml:space="preserve"> Về việc kiểm định an toàn và tính năng kỹ thuật </w:t>
      </w:r>
      <w:r>
        <w:rPr>
          <w:b/>
          <w:i/>
          <w:lang w:val="vi-VN"/>
        </w:rPr>
        <w:t>TBYT</w:t>
      </w:r>
      <w:r w:rsidRPr="008532AF">
        <w:rPr>
          <w:b/>
          <w:i/>
          <w:lang w:val="vi-VN"/>
        </w:rPr>
        <w:t>:</w:t>
      </w:r>
    </w:p>
    <w:p w14:paraId="590BBAB3" w14:textId="77777777" w:rsidR="003C1269" w:rsidRDefault="003C1269" w:rsidP="003C1269">
      <w:pPr>
        <w:spacing w:after="120"/>
        <w:ind w:firstLine="567"/>
        <w:jc w:val="both"/>
      </w:pPr>
      <w:r>
        <w:t xml:space="preserve">Hiện tại có sự chưa thống nhất trong quy định về kiểm định giữa pháp luật về </w:t>
      </w:r>
      <w:hyperlink r:id="rId11" w:tgtFrame="_blank" w:history="1">
        <w:r>
          <w:t>c</w:t>
        </w:r>
        <w:r w:rsidRPr="00AA7A49">
          <w:rPr>
            <w:lang w:val="vi-VN"/>
          </w:rPr>
          <w:t>hất lượng sản phẩm, hàng hóa</w:t>
        </w:r>
      </w:hyperlink>
      <w:r>
        <w:t xml:space="preserve"> (quy định tại Luật </w:t>
      </w:r>
      <w:r w:rsidRPr="002B0CFB">
        <w:t>chất lượng sản phẩm, hàng hó</w:t>
      </w:r>
      <w:r>
        <w:t>a) và pháp luật về quản lý thiết bị y tế (quy định tại</w:t>
      </w:r>
      <w:r w:rsidRPr="00875E06">
        <w:rPr>
          <w:lang w:val="vi-VN"/>
        </w:rPr>
        <w:t xml:space="preserve"> </w:t>
      </w:r>
      <w:r w:rsidRPr="00AA7A49">
        <w:rPr>
          <w:lang w:val="vi-VN"/>
        </w:rPr>
        <w:t>Nghị định số 98/2021/NĐ-CP</w:t>
      </w:r>
      <w:r>
        <w:t>), cụ thể như sau:</w:t>
      </w:r>
    </w:p>
    <w:p w14:paraId="29D2DDE9" w14:textId="77777777" w:rsidR="003C1269" w:rsidRDefault="003C1269" w:rsidP="003C1269">
      <w:pPr>
        <w:spacing w:after="120"/>
        <w:ind w:firstLine="567"/>
        <w:jc w:val="both"/>
        <w:rPr>
          <w:bCs/>
          <w:iCs/>
          <w:lang w:val="vi-VN"/>
        </w:rPr>
      </w:pPr>
      <w:r>
        <w:rPr>
          <w:bCs/>
          <w:iCs/>
        </w:rPr>
        <w:t>- Nghị định số 98/2021/NĐ-CP có quy định về k</w:t>
      </w:r>
      <w:r w:rsidRPr="006E5102">
        <w:rPr>
          <w:bCs/>
          <w:iCs/>
          <w:lang w:val="vi-VN"/>
        </w:rPr>
        <w:t>iểm định an toàn và tính năng kỹ thuật</w:t>
      </w:r>
      <w:r>
        <w:rPr>
          <w:bCs/>
          <w:iCs/>
        </w:rPr>
        <w:t xml:space="preserve"> thiết bị y tế. </w:t>
      </w:r>
      <w:r w:rsidRPr="006E5102">
        <w:rPr>
          <w:bCs/>
          <w:iCs/>
          <w:lang w:val="vi-VN"/>
        </w:rPr>
        <w:t>Bộ Y tế có trách nhiệm ban hành danh mục TBYT phải kiểm định an toàn và tính năng kỹ thuật trước khi đưa vào sử dụng, định kỳ hoặc sau sửa chữa lớn</w:t>
      </w:r>
      <w:r>
        <w:rPr>
          <w:bCs/>
          <w:iCs/>
        </w:rPr>
        <w:t xml:space="preserve">. </w:t>
      </w:r>
      <w:r w:rsidRPr="002F4E0A">
        <w:rPr>
          <w:bCs/>
          <w:iCs/>
          <w:lang w:val="pt-BR"/>
        </w:rPr>
        <w:t>Điều kiện kinh doanh dịch vụ kiểm định</w:t>
      </w:r>
      <w:r>
        <w:rPr>
          <w:bCs/>
          <w:iCs/>
          <w:lang w:val="pt-BR"/>
        </w:rPr>
        <w:t xml:space="preserve"> an toàn và tính năng kỹ thuật</w:t>
      </w:r>
      <w:r w:rsidRPr="002F4E0A">
        <w:rPr>
          <w:bCs/>
          <w:iCs/>
          <w:lang w:val="pt-BR"/>
        </w:rPr>
        <w:t xml:space="preserve"> </w:t>
      </w:r>
      <w:r>
        <w:rPr>
          <w:bCs/>
          <w:iCs/>
          <w:lang w:val="pt-BR"/>
        </w:rPr>
        <w:t>TBYT</w:t>
      </w:r>
      <w:r w:rsidRPr="002F4E0A">
        <w:rPr>
          <w:bCs/>
          <w:iCs/>
          <w:lang w:val="pt-BR"/>
        </w:rPr>
        <w:t xml:space="preserve"> </w:t>
      </w:r>
      <w:r>
        <w:rPr>
          <w:bCs/>
          <w:iCs/>
          <w:lang w:val="pt-BR"/>
        </w:rPr>
        <w:t xml:space="preserve">(phục vụ việc cấp phép cho các đơn vị thực hiện công tác kiểm định) </w:t>
      </w:r>
      <w:r w:rsidRPr="002F4E0A">
        <w:rPr>
          <w:bCs/>
          <w:iCs/>
          <w:lang w:val="pt-BR"/>
        </w:rPr>
        <w:t xml:space="preserve">được dẫn chiếu thực hiện theo quy định </w:t>
      </w:r>
      <w:r>
        <w:rPr>
          <w:bCs/>
          <w:iCs/>
          <w:lang w:val="pt-BR"/>
        </w:rPr>
        <w:t xml:space="preserve">chung </w:t>
      </w:r>
      <w:r w:rsidRPr="00BD540F">
        <w:rPr>
          <w:bCs/>
          <w:iCs/>
          <w:lang w:val="pt-BR"/>
        </w:rPr>
        <w:t>về điều kiện kinh doanh dịch vụ đánh giá sự phù hợp</w:t>
      </w:r>
      <w:r>
        <w:rPr>
          <w:bCs/>
          <w:iCs/>
          <w:lang w:val="pt-BR"/>
        </w:rPr>
        <w:t>.</w:t>
      </w:r>
    </w:p>
    <w:p w14:paraId="199800D3" w14:textId="77777777" w:rsidR="003C1269" w:rsidRDefault="003C1269" w:rsidP="003C1269">
      <w:pPr>
        <w:spacing w:after="120"/>
        <w:ind w:firstLine="567"/>
        <w:jc w:val="both"/>
        <w:rPr>
          <w:bCs/>
          <w:iCs/>
          <w:lang w:val="pt-BR"/>
        </w:rPr>
      </w:pPr>
      <w:r>
        <w:rPr>
          <w:bCs/>
          <w:iCs/>
          <w:lang w:val="pt-BR"/>
        </w:rPr>
        <w:t xml:space="preserve">- Bộ Y tế đã ban hành Thông tư số 05/2022/TT-BYT ngày 01/8/2022 đó có danh mục 06 loại TBYT phải kiểm định an toàn và tính năng kỹ thuật (bao gồm: </w:t>
      </w:r>
      <w:r w:rsidRPr="0054329D">
        <w:rPr>
          <w:i/>
          <w:iCs/>
          <w:lang w:val="pt-BR"/>
        </w:rPr>
        <w:t xml:space="preserve">Máy thở; Máy gây mê kèm thở; Dao mổ </w:t>
      </w:r>
      <w:r w:rsidRPr="0054329D">
        <w:rPr>
          <w:rFonts w:hint="eastAsia"/>
          <w:i/>
          <w:iCs/>
          <w:lang w:val="pt-BR"/>
        </w:rPr>
        <w:t>đ</w:t>
      </w:r>
      <w:r w:rsidRPr="0054329D">
        <w:rPr>
          <w:i/>
          <w:iCs/>
          <w:lang w:val="pt-BR"/>
        </w:rPr>
        <w:t>iện cao tần</w:t>
      </w:r>
      <w:r>
        <w:rPr>
          <w:i/>
          <w:iCs/>
          <w:lang w:val="pt-BR"/>
        </w:rPr>
        <w:t xml:space="preserve">, </w:t>
      </w:r>
      <w:r w:rsidRPr="0054329D">
        <w:rPr>
          <w:i/>
          <w:iCs/>
          <w:lang w:val="pt-BR"/>
        </w:rPr>
        <w:t>Máy phá rung tim; Lồng ấp trẻ s</w:t>
      </w:r>
      <w:r w:rsidRPr="0054329D">
        <w:rPr>
          <w:rFonts w:hint="eastAsia"/>
          <w:i/>
          <w:iCs/>
          <w:lang w:val="pt-BR"/>
        </w:rPr>
        <w:t>ơ</w:t>
      </w:r>
      <w:r w:rsidRPr="0054329D">
        <w:rPr>
          <w:i/>
          <w:iCs/>
          <w:lang w:val="pt-BR"/>
        </w:rPr>
        <w:t xml:space="preserve"> sinh; Máy thận nhân tạo</w:t>
      </w:r>
      <w:r>
        <w:rPr>
          <w:bCs/>
          <w:iCs/>
          <w:lang w:val="pt-BR"/>
        </w:rPr>
        <w:t xml:space="preserve">) và lộ trình thực hiện tương ứng. Trong quá trình thực hiện, do nhiều nguyên nhân khác nhau, vẫn còn một số các TBYT thuộc danh mục phải kiểm định nhưng chưa thực hiện kiểm định về an toàn và tính năng kỹ thuật theo đúng lộ trình quy định. Bộ Y tế đã ban hành Thông tư số 59/2022/TT-BYT sửa đổi, bổ sung về lộ trình kiểm định an toàn và tính năng kỹ thuật TBYT, </w:t>
      </w:r>
      <w:r w:rsidRPr="00362F95">
        <w:rPr>
          <w:b/>
          <w:i/>
          <w:lang w:val="pt-BR"/>
        </w:rPr>
        <w:t xml:space="preserve">cụ thể là từ ngày 01/7/2026 các cơ sở y tế sẽ cần tiếp tục thực hiện kiểm định an toàn và tính năng kỹ thuật </w:t>
      </w:r>
      <w:r w:rsidRPr="00362F95">
        <w:rPr>
          <w:bCs/>
          <w:iCs/>
          <w:lang w:val="pt-BR"/>
        </w:rPr>
        <w:t xml:space="preserve">đối với 06 loại </w:t>
      </w:r>
      <w:r>
        <w:rPr>
          <w:bCs/>
          <w:iCs/>
          <w:lang w:val="pt-BR"/>
        </w:rPr>
        <w:t>TBYT</w:t>
      </w:r>
      <w:r w:rsidRPr="00362F95">
        <w:rPr>
          <w:bCs/>
          <w:iCs/>
          <w:lang w:val="pt-BR"/>
        </w:rPr>
        <w:t xml:space="preserve"> đã được Bộ Y tế quy định</w:t>
      </w:r>
      <w:r>
        <w:rPr>
          <w:bCs/>
          <w:iCs/>
          <w:lang w:val="pt-BR"/>
        </w:rPr>
        <w:t>.</w:t>
      </w:r>
    </w:p>
    <w:p w14:paraId="77645592" w14:textId="77777777" w:rsidR="003C1269" w:rsidRDefault="003C1269" w:rsidP="003C1269">
      <w:pPr>
        <w:spacing w:after="120"/>
        <w:ind w:firstLine="567"/>
        <w:jc w:val="both"/>
        <w:rPr>
          <w:bCs/>
          <w:iCs/>
          <w:lang w:val="pt-BR"/>
        </w:rPr>
      </w:pPr>
      <w:r>
        <w:rPr>
          <w:bCs/>
          <w:iCs/>
        </w:rPr>
        <w:t xml:space="preserve">- </w:t>
      </w:r>
      <w:r w:rsidRPr="008532AF">
        <w:rPr>
          <w:bCs/>
          <w:iCs/>
          <w:lang w:val="pt-BR"/>
        </w:rPr>
        <w:t xml:space="preserve">Ngày </w:t>
      </w:r>
      <w:r>
        <w:rPr>
          <w:bCs/>
          <w:iCs/>
          <w:lang w:val="pt-BR"/>
        </w:rPr>
        <w:t xml:space="preserve">18/6/2025 Quốc hội đã thông qua Luật số 78/2025/QH15 </w:t>
      </w:r>
      <w:r w:rsidRPr="00CD7011">
        <w:rPr>
          <w:bCs/>
          <w:iCs/>
          <w:lang w:val="pt-BR"/>
        </w:rPr>
        <w:t>sửa đổi, bổ sung một số điều của Luật Chất lượng sản phẩm, hàng hóa</w:t>
      </w:r>
      <w:r>
        <w:rPr>
          <w:bCs/>
          <w:iCs/>
          <w:lang w:val="pt-BR"/>
        </w:rPr>
        <w:t xml:space="preserve"> trong đó không còn quy định về việc kiểm định đối với sản phẩm, hàng hóa (thay thế bằng những biện pháp đánh giá sự phù hợp khác). Cục HT&amp;TBYT đã có Văn bản hỏi ý kiến Bộ Khoa học Công nghệ và thấy rằng việc </w:t>
      </w:r>
      <w:r w:rsidRPr="00B4638F">
        <w:rPr>
          <w:b/>
          <w:i/>
          <w:lang w:val="pt-BR"/>
        </w:rPr>
        <w:t>quy định về kiểm định về an toàn và tính năng kỹ thuật đối với TBYT không còn phù hợp với pháp luật về chất lượng sản phẩm, hàng hóa hiện hành</w:t>
      </w:r>
      <w:r>
        <w:rPr>
          <w:bCs/>
          <w:iCs/>
          <w:lang w:val="pt-BR"/>
        </w:rPr>
        <w:t xml:space="preserve">. Theo quy định tại Luật Chất lượng sản phẩm hàng hóa, trường hợp cần xây dựng biện pháp quản lý chất lượng khác với Luật chất lượng sản phẩm, hàng hóa thì cần phải quy định ở cấp độ Luật. </w:t>
      </w:r>
    </w:p>
    <w:p w14:paraId="5F33C7B6" w14:textId="77777777" w:rsidR="003C1269" w:rsidRDefault="003C1269" w:rsidP="003C1269">
      <w:pPr>
        <w:spacing w:after="120"/>
        <w:ind w:firstLine="567"/>
        <w:jc w:val="both"/>
        <w:rPr>
          <w:bCs/>
          <w:iCs/>
          <w:lang w:val="pt-BR"/>
        </w:rPr>
      </w:pPr>
      <w:r>
        <w:rPr>
          <w:bCs/>
          <w:iCs/>
          <w:lang w:val="pt-BR"/>
        </w:rPr>
        <w:t xml:space="preserve">- Do đó, hiện tại quy định về kiểm định an toàn và tính năng kỹ thuật TBYT vẫn đang còn hiệu lực theo quy định tại Nghị định số 98/NĐ-CP; Danh mục 06 TBYT cần kiểm định an toàn và tính năng kỹ thuật và lộ trình thực hiện vẫn đang tiếp tục thực hiện theo quy định tại Thông tư số </w:t>
      </w:r>
      <w:r w:rsidRPr="003D0238">
        <w:rPr>
          <w:bCs/>
          <w:iCs/>
          <w:lang w:val="pt-BR"/>
        </w:rPr>
        <w:t>05/2022/TT-BYT</w:t>
      </w:r>
      <w:r>
        <w:rPr>
          <w:bCs/>
          <w:iCs/>
          <w:lang w:val="pt-BR"/>
        </w:rPr>
        <w:t xml:space="preserve"> được sửa đổi, bổ sung bởi </w:t>
      </w:r>
      <w:r w:rsidRPr="003D0238">
        <w:rPr>
          <w:bCs/>
          <w:iCs/>
          <w:lang w:val="pt-BR"/>
        </w:rPr>
        <w:t>Thông tư số 59/2022/TT-BYT</w:t>
      </w:r>
      <w:r>
        <w:rPr>
          <w:bCs/>
          <w:iCs/>
          <w:lang w:val="pt-BR"/>
        </w:rPr>
        <w:t xml:space="preserve"> (tiếp tục thực hiện kiểm định an toàn và tính năng kỹ thuật TBYT từ 01/7/2026). Đ</w:t>
      </w:r>
      <w:r w:rsidRPr="002F4E0A">
        <w:rPr>
          <w:bCs/>
          <w:iCs/>
          <w:lang w:val="pt-BR"/>
        </w:rPr>
        <w:t>iều kiện kinh doanh dịch vụ kiểm định</w:t>
      </w:r>
      <w:r>
        <w:rPr>
          <w:bCs/>
          <w:iCs/>
          <w:lang w:val="pt-BR"/>
        </w:rPr>
        <w:t xml:space="preserve"> an toàn và tính năng kỹ thuật</w:t>
      </w:r>
      <w:r w:rsidRPr="002F4E0A">
        <w:rPr>
          <w:bCs/>
          <w:iCs/>
          <w:lang w:val="pt-BR"/>
        </w:rPr>
        <w:t xml:space="preserve"> </w:t>
      </w:r>
      <w:r>
        <w:rPr>
          <w:bCs/>
          <w:iCs/>
          <w:lang w:val="pt-BR"/>
        </w:rPr>
        <w:t>TBYT</w:t>
      </w:r>
      <w:r w:rsidRPr="002F4E0A">
        <w:rPr>
          <w:bCs/>
          <w:iCs/>
          <w:lang w:val="pt-BR"/>
        </w:rPr>
        <w:t xml:space="preserve"> được dẫn chiếu thực hiện theo quy định </w:t>
      </w:r>
      <w:r>
        <w:rPr>
          <w:bCs/>
          <w:iCs/>
          <w:lang w:val="pt-BR"/>
        </w:rPr>
        <w:t xml:space="preserve">chung </w:t>
      </w:r>
      <w:r w:rsidRPr="00BD540F">
        <w:rPr>
          <w:bCs/>
          <w:iCs/>
          <w:lang w:val="pt-BR"/>
        </w:rPr>
        <w:t>về điều kiện kinh doanh dịch vụ đánh giá sự phù hợp</w:t>
      </w:r>
      <w:r>
        <w:rPr>
          <w:bCs/>
          <w:iCs/>
          <w:lang w:val="pt-BR"/>
        </w:rPr>
        <w:t xml:space="preserve"> (giai đoạn trước đây </w:t>
      </w:r>
      <w:r>
        <w:rPr>
          <w:bCs/>
          <w:iCs/>
          <w:lang w:val="pt-BR"/>
        </w:rPr>
        <w:lastRenderedPageBreak/>
        <w:t xml:space="preserve">là </w:t>
      </w:r>
      <w:r w:rsidRPr="002F4E0A">
        <w:rPr>
          <w:bCs/>
          <w:iCs/>
          <w:lang w:val="pt-BR"/>
        </w:rPr>
        <w:t xml:space="preserve">thực hiện theo quy định </w:t>
      </w:r>
      <w:r>
        <w:rPr>
          <w:bCs/>
          <w:iCs/>
          <w:lang w:val="pt-BR"/>
        </w:rPr>
        <w:t>của</w:t>
      </w:r>
      <w:r w:rsidRPr="002F4E0A">
        <w:rPr>
          <w:bCs/>
          <w:iCs/>
          <w:lang w:val="pt-BR"/>
        </w:rPr>
        <w:t xml:space="preserve"> Nghị định số 107/2016/NĐ-CP ngày 01</w:t>
      </w:r>
      <w:r>
        <w:rPr>
          <w:bCs/>
          <w:iCs/>
          <w:lang w:val="pt-BR"/>
        </w:rPr>
        <w:t>/</w:t>
      </w:r>
      <w:r w:rsidRPr="002F4E0A">
        <w:rPr>
          <w:bCs/>
          <w:iCs/>
          <w:lang w:val="pt-BR"/>
        </w:rPr>
        <w:t>7</w:t>
      </w:r>
      <w:r>
        <w:rPr>
          <w:bCs/>
          <w:iCs/>
          <w:lang w:val="pt-BR"/>
        </w:rPr>
        <w:t>/</w:t>
      </w:r>
      <w:r w:rsidRPr="002F4E0A">
        <w:rPr>
          <w:bCs/>
          <w:iCs/>
          <w:lang w:val="pt-BR"/>
        </w:rPr>
        <w:t>2016</w:t>
      </w:r>
      <w:r>
        <w:rPr>
          <w:bCs/>
          <w:iCs/>
          <w:lang w:val="pt-BR"/>
        </w:rPr>
        <w:t xml:space="preserve"> của Chính phủ).</w:t>
      </w:r>
    </w:p>
    <w:p w14:paraId="60816CC1" w14:textId="5452B31F" w:rsidR="003C1269" w:rsidRDefault="00800918" w:rsidP="003C1269">
      <w:pPr>
        <w:spacing w:after="120"/>
        <w:ind w:firstLine="567"/>
        <w:jc w:val="both"/>
        <w:rPr>
          <w:bCs/>
          <w:iCs/>
          <w:lang w:val="pt-BR"/>
        </w:rPr>
      </w:pPr>
      <w:r>
        <w:rPr>
          <w:bCs/>
          <w:iCs/>
          <w:lang w:val="pt-BR"/>
        </w:rPr>
        <w:t xml:space="preserve">- </w:t>
      </w:r>
      <w:r w:rsidR="003C1269">
        <w:rPr>
          <w:bCs/>
          <w:iCs/>
          <w:lang w:val="pt-BR"/>
        </w:rPr>
        <w:t xml:space="preserve">Tuy nhiên, như đã báo cáo ở trên, </w:t>
      </w:r>
      <w:r w:rsidR="003C1269" w:rsidRPr="00CD7011">
        <w:rPr>
          <w:bCs/>
          <w:iCs/>
          <w:lang w:val="pt-BR"/>
        </w:rPr>
        <w:t>Luật Chất lượng sản phẩm, hàng hóa</w:t>
      </w:r>
      <w:r w:rsidR="003C1269">
        <w:rPr>
          <w:bCs/>
          <w:iCs/>
          <w:lang w:val="pt-BR"/>
        </w:rPr>
        <w:t xml:space="preserve"> trong đó không còn quy định về việc kiểm định đối với sản phẩm, hàng hóa; đồng thời, hiện tại </w:t>
      </w:r>
      <w:r w:rsidR="003C1269" w:rsidRPr="003D0238">
        <w:rPr>
          <w:bCs/>
          <w:iCs/>
          <w:lang w:val="pt-BR"/>
        </w:rPr>
        <w:t>Chính phủ đã ban hành Nghị định số 22/2026/NĐ-CP ngày 16/01/2026 trong đó công bố Nghị định số 107/2016/NĐ-CP hết hiệu lực kể từ ngày 16/01/2026.</w:t>
      </w:r>
    </w:p>
    <w:p w14:paraId="3EB47AD1" w14:textId="58A36D65" w:rsidR="003C1269" w:rsidRDefault="00800918" w:rsidP="001945A9">
      <w:pPr>
        <w:spacing w:after="120"/>
        <w:ind w:firstLine="567"/>
        <w:jc w:val="both"/>
        <w:rPr>
          <w:bCs/>
          <w:iCs/>
          <w:lang w:val="pt-BR"/>
        </w:rPr>
      </w:pPr>
      <w:r>
        <w:rPr>
          <w:bCs/>
          <w:iCs/>
          <w:lang w:val="pt-BR"/>
        </w:rPr>
        <w:t xml:space="preserve">- </w:t>
      </w:r>
      <w:r w:rsidR="003C1269">
        <w:rPr>
          <w:bCs/>
          <w:iCs/>
          <w:lang w:val="pt-BR"/>
        </w:rPr>
        <w:t>Do đó, hiện tại Cục HT&amp;TBYT không có cơ sở để cấp giấy chứng nhận đủ điều kiện kiểm định cho các đơn vị làm công tác đánh giá. Việc này dẫn đến việc từ ngày 01/7/2026, các cơ sở y tế phải thực hiện việc kiểm định an toàn và tính năng kỹ thuật đối với 06 loại TBYT do Bộ Y tế quy định nhưng không có đủ đơn vị để thực hiện việc đánh giá, kiểm định.</w:t>
      </w:r>
    </w:p>
    <w:p w14:paraId="2DB41D22" w14:textId="741254E1" w:rsidR="00800918" w:rsidRPr="003C1269" w:rsidRDefault="00800918" w:rsidP="001945A9">
      <w:pPr>
        <w:spacing w:after="120"/>
        <w:ind w:firstLine="567"/>
        <w:jc w:val="both"/>
        <w:rPr>
          <w:lang w:val="nl-NL"/>
        </w:rPr>
      </w:pPr>
      <w:r>
        <w:rPr>
          <w:bCs/>
          <w:iCs/>
          <w:lang w:val="pt-BR"/>
        </w:rPr>
        <w:t xml:space="preserve">Ngoài ra, về vấn đề kiểm định TBYT, </w:t>
      </w:r>
      <w:r w:rsidRPr="00895729">
        <w:rPr>
          <w:lang w:val="pt-BR"/>
        </w:rPr>
        <w:t>Bộ Y tế nhận được Công văn số 472/BHXH-CSYT ngày 13/02/2026, Công văn số 474/BHXH-CSYT ngày 13/02/2026 và Công văn số 1366/BHXH-CSYT ngày 29/4/2026 của Bảo hiểm xã hội Việt Nam về một số nội dung liên quan đến thanh toán chi phí khám bệnh, chữa bệnh bảo hiểm y tế đối với dịch vụ kỹ thuật sử dụng thiết bị y tế thuộc danh mục phải kiểm định an toàn và tính năng kỹ thuật nhưng chưa hoàn thành việc kiểm định</w:t>
      </w:r>
      <w:r>
        <w:rPr>
          <w:lang w:val="pt-BR"/>
        </w:rPr>
        <w:t xml:space="preserve"> theo quy định tại Thông tư số 05/2022/TT-BYT</w:t>
      </w:r>
      <w:r w:rsidRPr="00895729">
        <w:rPr>
          <w:lang w:val="pt-BR"/>
        </w:rPr>
        <w:t>.</w:t>
      </w:r>
      <w:r>
        <w:rPr>
          <w:lang w:val="pt-BR"/>
        </w:rPr>
        <w:t xml:space="preserve"> Về vấn đề này, Bộ Y tế đang rà soát, đề xuất đưa vào Đề án báo cáo Chính phủ để giải quyết vấn đề tồn đọng, khó khăn, vướng mắc thanh toán bảo hiểm y tế từ năm 2025 trở về trước.</w:t>
      </w:r>
    </w:p>
    <w:p w14:paraId="16DCBEE9" w14:textId="55283F00" w:rsidR="001945A9" w:rsidRPr="001945A9" w:rsidRDefault="001945A9" w:rsidP="001945A9">
      <w:pPr>
        <w:spacing w:after="120"/>
        <w:ind w:firstLine="567"/>
        <w:jc w:val="both"/>
      </w:pPr>
      <w:r w:rsidRPr="00AA7A49">
        <w:rPr>
          <w:b/>
          <w:i/>
          <w:lang w:val="vi-VN"/>
        </w:rPr>
        <w:t>1.</w:t>
      </w:r>
      <w:r>
        <w:rPr>
          <w:b/>
          <w:i/>
        </w:rPr>
        <w:t>3</w:t>
      </w:r>
      <w:r w:rsidRPr="00AA7A49">
        <w:rPr>
          <w:b/>
          <w:i/>
          <w:lang w:val="vi-VN"/>
        </w:rPr>
        <w:t xml:space="preserve">. </w:t>
      </w:r>
      <w:r>
        <w:rPr>
          <w:b/>
          <w:i/>
        </w:rPr>
        <w:t>Căn cứ pháp lý ban hành văn bản</w:t>
      </w:r>
    </w:p>
    <w:p w14:paraId="1E9AF15B" w14:textId="79153D14" w:rsidR="003F7C27" w:rsidRPr="00745CF1" w:rsidRDefault="00745CF1" w:rsidP="001945A9">
      <w:pPr>
        <w:spacing w:after="120"/>
        <w:ind w:firstLine="567"/>
        <w:jc w:val="both"/>
        <w:rPr>
          <w:lang w:val="nl-NL"/>
        </w:rPr>
      </w:pPr>
      <w:r w:rsidRPr="00745CF1">
        <w:rPr>
          <w:lang w:val="nl-NL"/>
        </w:rPr>
        <w:t>Căn cứ</w:t>
      </w:r>
      <w:r w:rsidR="000714EE">
        <w:rPr>
          <w:lang w:val="nl-NL"/>
        </w:rPr>
        <w:t xml:space="preserve"> tình hình thực tiễn trên và căn cứ</w:t>
      </w:r>
      <w:r w:rsidRPr="00745CF1">
        <w:rPr>
          <w:lang w:val="nl-NL"/>
        </w:rPr>
        <w:t xml:space="preserve"> </w:t>
      </w:r>
      <w:r w:rsidR="003F7C27" w:rsidRPr="00745CF1">
        <w:rPr>
          <w:lang w:val="nl-NL"/>
        </w:rPr>
        <w:t>Điểm b</w:t>
      </w:r>
      <w:r w:rsidR="00E273F2">
        <w:rPr>
          <w:lang w:val="nl-NL"/>
        </w:rPr>
        <w:t>, c, d</w:t>
      </w:r>
      <w:r w:rsidR="003F7C27" w:rsidRPr="00745CF1">
        <w:rPr>
          <w:lang w:val="nl-NL"/>
        </w:rPr>
        <w:t xml:space="preserve"> khoản 1 và điểm d khoản 2 Điều 50 Luật Ban hành văn bản quy phạm pháp luật năm 2024 quy định:</w:t>
      </w:r>
    </w:p>
    <w:p w14:paraId="392A0434" w14:textId="77777777" w:rsidR="003F7C27" w:rsidRPr="00745CF1" w:rsidRDefault="003F7C27" w:rsidP="001945A9">
      <w:pPr>
        <w:spacing w:after="120"/>
        <w:ind w:firstLine="567"/>
        <w:jc w:val="both"/>
        <w:rPr>
          <w:i/>
          <w:iCs/>
          <w:lang w:val="nl-NL"/>
        </w:rPr>
      </w:pPr>
      <w:r w:rsidRPr="00745CF1">
        <w:rPr>
          <w:i/>
          <w:iCs/>
          <w:lang w:val="nl-NL"/>
        </w:rPr>
        <w:t>“Điều 50. Trường hợp và thẩm quyền quyết định xây dựng, ban hành văn bản quy phạm pháp luật theo trình tự, thủ tục rút gọn</w:t>
      </w:r>
    </w:p>
    <w:p w14:paraId="1BF0180F" w14:textId="77777777" w:rsidR="003F7C27" w:rsidRPr="00745CF1" w:rsidRDefault="003F7C27" w:rsidP="001945A9">
      <w:pPr>
        <w:spacing w:after="120"/>
        <w:ind w:firstLine="567"/>
        <w:jc w:val="both"/>
        <w:rPr>
          <w:i/>
          <w:iCs/>
          <w:lang w:val="nl-NL"/>
        </w:rPr>
      </w:pPr>
      <w:r w:rsidRPr="00745CF1">
        <w:rPr>
          <w:i/>
          <w:iCs/>
          <w:lang w:val="nl-NL"/>
        </w:rPr>
        <w:t>1. Việc xây dựng, ban hành văn bản quy phạm pháp luật được thực hiện theo trình tự, thủ tục rút gọn thuộc trường hợp sau đây:</w:t>
      </w:r>
    </w:p>
    <w:p w14:paraId="64D7B0C4" w14:textId="77777777" w:rsidR="003F7C27" w:rsidRDefault="003F7C27" w:rsidP="001945A9">
      <w:pPr>
        <w:spacing w:after="120"/>
        <w:ind w:firstLine="567"/>
        <w:jc w:val="both"/>
        <w:rPr>
          <w:b/>
          <w:bCs/>
          <w:i/>
          <w:iCs/>
          <w:lang w:val="nl-NL"/>
        </w:rPr>
      </w:pPr>
      <w:r w:rsidRPr="00745CF1">
        <w:rPr>
          <w:b/>
          <w:bCs/>
          <w:i/>
          <w:iCs/>
          <w:lang w:val="nl-NL"/>
        </w:rPr>
        <w:t>b) Trường hợp cấp bách để giải quyết vấn đề phát sinh trong thực tiễn;</w:t>
      </w:r>
    </w:p>
    <w:p w14:paraId="0BB61500" w14:textId="77777777" w:rsidR="00E273F2" w:rsidRPr="00E273F2" w:rsidRDefault="00E273F2" w:rsidP="00E273F2">
      <w:pPr>
        <w:spacing w:after="120"/>
        <w:ind w:firstLine="567"/>
        <w:jc w:val="both"/>
        <w:rPr>
          <w:b/>
          <w:bCs/>
          <w:i/>
          <w:iCs/>
        </w:rPr>
      </w:pPr>
      <w:r w:rsidRPr="00E273F2">
        <w:rPr>
          <w:b/>
          <w:bCs/>
          <w:i/>
          <w:iCs/>
          <w:lang w:val="en"/>
        </w:rPr>
        <w:t>c) Trư</w:t>
      </w:r>
      <w:r w:rsidRPr="00E273F2">
        <w:rPr>
          <w:b/>
          <w:bCs/>
          <w:i/>
          <w:iCs/>
        </w:rPr>
        <w:t>ờng hợp cần tạm ngưng hiệu lực toàn bộ hoặc một phần của văn bản quy phạm pháp luật để kịp thời bảo vệ lợi ích của Nhà nước, quyền, lợi ích hợp pháp của tổ chức, cá nhân;</w:t>
      </w:r>
    </w:p>
    <w:p w14:paraId="635059A5" w14:textId="77777777" w:rsidR="00E273F2" w:rsidRPr="00E273F2" w:rsidRDefault="00E273F2" w:rsidP="00E273F2">
      <w:pPr>
        <w:spacing w:after="120"/>
        <w:ind w:firstLine="567"/>
        <w:jc w:val="both"/>
        <w:rPr>
          <w:b/>
          <w:bCs/>
          <w:i/>
          <w:iCs/>
        </w:rPr>
      </w:pPr>
      <w:r w:rsidRPr="00E273F2">
        <w:rPr>
          <w:b/>
          <w:bCs/>
          <w:i/>
          <w:iCs/>
          <w:lang w:val="en"/>
        </w:rPr>
        <w:t>d) Trư</w:t>
      </w:r>
      <w:r w:rsidRPr="00E273F2">
        <w:rPr>
          <w:b/>
          <w:bCs/>
          <w:i/>
          <w:iCs/>
        </w:rPr>
        <w:t>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14:paraId="41A54DAF" w14:textId="77777777" w:rsidR="003F7C27" w:rsidRPr="00745CF1" w:rsidRDefault="003F7C27" w:rsidP="001945A9">
      <w:pPr>
        <w:spacing w:after="120"/>
        <w:ind w:firstLine="567"/>
        <w:jc w:val="both"/>
        <w:rPr>
          <w:i/>
          <w:iCs/>
          <w:lang w:val="nl-NL"/>
        </w:rPr>
      </w:pPr>
      <w:r w:rsidRPr="00745CF1">
        <w:rPr>
          <w:i/>
          <w:iCs/>
          <w:lang w:val="nl-NL"/>
        </w:rPr>
        <w:t>2. Thẩm quyền quyết định việc xây dựng, ban hành văn bản quy phạm pháp luật theo trình tự, thủ tục rút gọn:</w:t>
      </w:r>
    </w:p>
    <w:p w14:paraId="7DA1FD6D" w14:textId="77777777" w:rsidR="003F7C27" w:rsidRPr="000714EE" w:rsidRDefault="003F7C27" w:rsidP="001945A9">
      <w:pPr>
        <w:spacing w:after="120"/>
        <w:ind w:firstLine="567"/>
        <w:jc w:val="both"/>
        <w:rPr>
          <w:i/>
          <w:iCs/>
          <w:spacing w:val="-4"/>
          <w:lang w:val="nl-NL"/>
        </w:rPr>
      </w:pPr>
      <w:r w:rsidRPr="000714EE">
        <w:rPr>
          <w:i/>
          <w:iCs/>
          <w:spacing w:val="-4"/>
          <w:lang w:val="nl-NL"/>
        </w:rPr>
        <w:t xml:space="preserve">d) Bộ trưởng, Thủ trưởng cơ quan ngang Bộ, Hội đồng Thẩm phán Tòa án nhân dân tối cao, Chánh án Tòa án nhân dân tối cao, Viện trưởng Viện kiểm sát nhân dân </w:t>
      </w:r>
      <w:r w:rsidRPr="000714EE">
        <w:rPr>
          <w:i/>
          <w:iCs/>
          <w:spacing w:val="-4"/>
          <w:lang w:val="nl-NL"/>
        </w:rPr>
        <w:lastRenderedPageBreak/>
        <w:t>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w:t>
      </w:r>
    </w:p>
    <w:p w14:paraId="45C3A938" w14:textId="08153DF1" w:rsidR="003F7C27" w:rsidRPr="00745CF1" w:rsidRDefault="00745CF1" w:rsidP="001945A9">
      <w:pPr>
        <w:widowControl w:val="0"/>
        <w:spacing w:after="120"/>
        <w:ind w:firstLine="567"/>
        <w:jc w:val="both"/>
        <w:rPr>
          <w:spacing w:val="-2"/>
        </w:rPr>
      </w:pPr>
      <w:r w:rsidRPr="00745CF1">
        <w:rPr>
          <w:spacing w:val="-2"/>
        </w:rPr>
        <w:t xml:space="preserve">Cục HT&amp;TBYT đã báo cáo xin ban hành </w:t>
      </w:r>
      <w:r w:rsidR="001945A9" w:rsidRPr="001945A9">
        <w:rPr>
          <w:spacing w:val="-2"/>
        </w:rPr>
        <w:t>Thông tư quy định về xác định mức độ rủi ro, biện pháp quản lý đối với sản phẩm, hàng hóa là thiết bị y tế và tạm ngưng hiệu lực về danh mục thiết bị y tế phải kiểm định an toàn và tính năng kỹ thuật thiết bị y tế</w:t>
      </w:r>
      <w:r w:rsidRPr="00745CF1">
        <w:rPr>
          <w:spacing w:val="-2"/>
        </w:rPr>
        <w:t xml:space="preserve"> theo trình tự, thủ tục rút gọn.</w:t>
      </w:r>
    </w:p>
    <w:p w14:paraId="701642CD" w14:textId="728C42CA" w:rsidR="00F46EAD" w:rsidRPr="00745CF1" w:rsidRDefault="00F46EAD" w:rsidP="001945A9">
      <w:pPr>
        <w:spacing w:after="120"/>
        <w:ind w:firstLine="567"/>
        <w:jc w:val="both"/>
        <w:rPr>
          <w:b/>
          <w:bCs/>
          <w:lang w:val="vi-VN"/>
        </w:rPr>
      </w:pPr>
      <w:r w:rsidRPr="00745CF1">
        <w:rPr>
          <w:b/>
          <w:bCs/>
          <w:lang w:val="vi-VN"/>
        </w:rPr>
        <w:t>2. Cơ sở thực tiễn:</w:t>
      </w:r>
    </w:p>
    <w:p w14:paraId="7BC4F60F" w14:textId="6CDF7AA1" w:rsidR="001945A9" w:rsidRPr="00B024CB" w:rsidRDefault="001945A9" w:rsidP="001945A9">
      <w:pPr>
        <w:spacing w:after="120"/>
        <w:ind w:firstLine="567"/>
        <w:jc w:val="both"/>
        <w:rPr>
          <w:b/>
          <w:i/>
          <w:lang w:val="pt-BR"/>
        </w:rPr>
      </w:pPr>
      <w:r w:rsidRPr="00B024CB">
        <w:rPr>
          <w:b/>
          <w:i/>
          <w:lang w:val="pt-BR"/>
        </w:rPr>
        <w:t xml:space="preserve">2.1. Về việc xác định mức độ rủi ro và biện pháp quản lý đối với sản phẩm, hàng hóa là </w:t>
      </w:r>
      <w:r>
        <w:rPr>
          <w:b/>
          <w:i/>
          <w:lang w:val="pt-BR"/>
        </w:rPr>
        <w:t>TBYT</w:t>
      </w:r>
      <w:r w:rsidRPr="00B024CB">
        <w:rPr>
          <w:b/>
          <w:i/>
          <w:lang w:val="pt-BR"/>
        </w:rPr>
        <w:t xml:space="preserve">: </w:t>
      </w:r>
    </w:p>
    <w:p w14:paraId="4E209F27" w14:textId="77777777" w:rsidR="001945A9" w:rsidRPr="00B024CB" w:rsidRDefault="001945A9" w:rsidP="001945A9">
      <w:pPr>
        <w:tabs>
          <w:tab w:val="left" w:pos="4111"/>
        </w:tabs>
        <w:spacing w:after="120"/>
        <w:ind w:firstLine="567"/>
        <w:jc w:val="both"/>
        <w:rPr>
          <w:lang w:val="vi-VN"/>
        </w:rPr>
      </w:pPr>
      <w:r w:rsidRPr="00B024CB">
        <w:rPr>
          <w:lang w:val="pt-BR"/>
        </w:rPr>
        <w:t>Nếu không kịp thời ban hành văn bản quy phạm pháp luật nhằm hướng dẫn</w:t>
      </w:r>
      <w:r w:rsidRPr="00B024CB">
        <w:rPr>
          <w:lang w:val="vi-VN"/>
        </w:rPr>
        <w:t xml:space="preserve"> </w:t>
      </w:r>
      <w:r w:rsidRPr="00B024CB">
        <w:rPr>
          <w:lang w:val="pt-BR"/>
        </w:rPr>
        <w:t>và thống nhất việc xác định mức độ rủi ro cũng như biện pháp quản lý</w:t>
      </w:r>
      <w:r w:rsidRPr="00B024CB">
        <w:rPr>
          <w:lang w:val="vi-VN"/>
        </w:rPr>
        <w:t xml:space="preserve"> chất lượng</w:t>
      </w:r>
      <w:r w:rsidRPr="00B024CB">
        <w:rPr>
          <w:lang w:val="pt-BR"/>
        </w:rPr>
        <w:t xml:space="preserve"> đối với TBYT theo </w:t>
      </w:r>
      <w:r w:rsidRPr="00B024CB">
        <w:rPr>
          <w:lang w:val="vi-VN"/>
        </w:rPr>
        <w:t xml:space="preserve">quy định tại </w:t>
      </w:r>
      <w:r w:rsidRPr="00B024CB">
        <w:rPr>
          <w:lang w:val="pt-BR"/>
        </w:rPr>
        <w:t xml:space="preserve">Nghị định </w:t>
      </w:r>
      <w:r w:rsidRPr="00B024CB">
        <w:rPr>
          <w:lang w:val="vi-VN"/>
        </w:rPr>
        <w:t xml:space="preserve">số </w:t>
      </w:r>
      <w:r w:rsidRPr="00B024CB">
        <w:rPr>
          <w:lang w:val="pt-BR"/>
        </w:rPr>
        <w:t xml:space="preserve">37/2026/NĐ-CP và Nghị định </w:t>
      </w:r>
      <w:r w:rsidRPr="00B024CB">
        <w:rPr>
          <w:lang w:val="vi-VN"/>
        </w:rPr>
        <w:t xml:space="preserve">số </w:t>
      </w:r>
      <w:r w:rsidRPr="00B024CB">
        <w:rPr>
          <w:lang w:val="pt-BR"/>
        </w:rPr>
        <w:t>98/2021/NĐ-CP</w:t>
      </w:r>
      <w:r w:rsidRPr="00B024CB">
        <w:rPr>
          <w:lang w:val="vi-VN"/>
        </w:rPr>
        <w:t xml:space="preserve"> thì</w:t>
      </w:r>
      <w:r w:rsidRPr="00B024CB">
        <w:rPr>
          <w:lang w:val="pt-BR"/>
        </w:rPr>
        <w:t xml:space="preserve"> có thể phát sinh </w:t>
      </w:r>
      <w:r w:rsidRPr="00B024CB">
        <w:rPr>
          <w:lang w:val="vi-VN"/>
        </w:rPr>
        <w:t>một số</w:t>
      </w:r>
      <w:r w:rsidRPr="00B024CB">
        <w:rPr>
          <w:lang w:val="pt-BR"/>
        </w:rPr>
        <w:t xml:space="preserve"> hậu quả tiêu cực trong thực tiễn quản lý và hoạt động sản xuất, kinh doanh</w:t>
      </w:r>
      <w:r w:rsidRPr="00B024CB">
        <w:rPr>
          <w:lang w:val="vi-VN"/>
        </w:rPr>
        <w:t xml:space="preserve"> </w:t>
      </w:r>
      <w:r w:rsidRPr="00B024CB">
        <w:rPr>
          <w:lang w:val="pt-BR"/>
        </w:rPr>
        <w:t>TBYT</w:t>
      </w:r>
      <w:r w:rsidRPr="00B024CB">
        <w:rPr>
          <w:lang w:val="vi-VN"/>
        </w:rPr>
        <w:t xml:space="preserve"> như:</w:t>
      </w:r>
    </w:p>
    <w:p w14:paraId="548675C1" w14:textId="77777777" w:rsidR="001945A9" w:rsidRDefault="001945A9" w:rsidP="001945A9">
      <w:pPr>
        <w:tabs>
          <w:tab w:val="left" w:pos="4111"/>
        </w:tabs>
        <w:spacing w:after="120"/>
        <w:ind w:firstLine="567"/>
        <w:jc w:val="both"/>
        <w:rPr>
          <w:lang w:val="vi-VN"/>
        </w:rPr>
      </w:pPr>
      <w:r w:rsidRPr="00B024CB">
        <w:rPr>
          <w:lang w:val="vi-VN"/>
        </w:rPr>
        <w:t>- S</w:t>
      </w:r>
      <w:r w:rsidRPr="00B024CB">
        <w:rPr>
          <w:lang w:val="pt-BR"/>
        </w:rPr>
        <w:t>ự thiếu thống nhất trong cơ chế phân loại rủi ro và áp dụng biện pháp quản lý TBYT</w:t>
      </w:r>
      <w:r w:rsidRPr="00B024CB">
        <w:rPr>
          <w:lang w:val="vi-VN"/>
        </w:rPr>
        <w:t xml:space="preserve"> </w:t>
      </w:r>
      <w:r w:rsidRPr="00B024CB">
        <w:rPr>
          <w:lang w:val="pt-BR"/>
        </w:rPr>
        <w:t xml:space="preserve">sẽ gây lúng túng cho doanh nghiệp và cơ quan quản lý nhà nước trong quá trình thực hiện. </w:t>
      </w:r>
      <w:r w:rsidRPr="00B024CB">
        <w:rPr>
          <w:lang w:val="vi-VN"/>
        </w:rPr>
        <w:t>N</w:t>
      </w:r>
      <w:r w:rsidRPr="00B024CB">
        <w:rPr>
          <w:lang w:val="pt-BR"/>
        </w:rPr>
        <w:t>guy cơ chồng chéo giữa hoạt động quản lý chuyên ngành y tế và quản lý chất lượng sản phẩm, hàng hóa có thể làm kéo dài thời gian xử lý hồ sơ, kiểm tra chuyên ngành và thông quan hàng hóa. Điều này ảnh hưởng trực tiếp đến hoạt động lưu hành TBYT trên thị trường, làm gia tăng chi phí tuân thủ, chi phí lưu kho, lưu bãi và giảm hiệu quả hoạt động của doanh nghiệp.</w:t>
      </w:r>
      <w:r w:rsidRPr="00B024CB">
        <w:rPr>
          <w:lang w:val="vi-VN"/>
        </w:rPr>
        <w:t xml:space="preserve"> Đồng thời, có thể ảnh hưởng đến việc cung cấp TBYT cho các cơ sở y tế </w:t>
      </w:r>
      <w:r>
        <w:t xml:space="preserve">làm tăng gánh nặng hành chính cho cơ quan quản lý, giảm sức hút đầu tư công nghệ mới, đặc biệt là nguy cơ </w:t>
      </w:r>
      <w:r w:rsidRPr="00F84998">
        <w:t>gây thiếu hụt thiết bị y tế tạm thời tại các bệnh viện, ảnh hưởng trực tiếp đến công tác</w:t>
      </w:r>
      <w:r>
        <w:t xml:space="preserve"> khám, chữa bệnh cho nhân dân</w:t>
      </w:r>
      <w:r w:rsidRPr="00B024CB">
        <w:rPr>
          <w:lang w:val="vi-VN"/>
        </w:rPr>
        <w:t>.</w:t>
      </w:r>
    </w:p>
    <w:p w14:paraId="45605E1B" w14:textId="77777777" w:rsidR="001945A9" w:rsidRPr="009D452E" w:rsidRDefault="001945A9" w:rsidP="001945A9">
      <w:pPr>
        <w:spacing w:after="120"/>
        <w:ind w:firstLine="567"/>
        <w:jc w:val="both"/>
        <w:rPr>
          <w:lang w:val="vi-VN"/>
        </w:rPr>
      </w:pPr>
      <w:r>
        <w:t xml:space="preserve">- Theo </w:t>
      </w:r>
      <w:r w:rsidRPr="00AA7A49">
        <w:rPr>
          <w:lang w:val="vi-VN"/>
        </w:rPr>
        <w:t xml:space="preserve">Thông báo số 803/TB-BYT ngày 13/5/2026 của Bộ Y tế về kết luận tại cuộc họp trao đổi giữa Bộ Y tế và Bộ Khoa học và Công nghệ về việc triển khai một số nội dung của Nghị định số 37/2026/NĐ-CP </w:t>
      </w:r>
      <w:r>
        <w:t>đã thống nhất</w:t>
      </w:r>
      <w:r w:rsidRPr="00AA7A49">
        <w:rPr>
          <w:lang w:val="vi-VN"/>
        </w:rPr>
        <w:t>:</w:t>
      </w:r>
      <w:r>
        <w:t xml:space="preserve"> “</w:t>
      </w:r>
      <w:r w:rsidRPr="00AA7A49">
        <w:rPr>
          <w:i/>
          <w:iCs/>
          <w:lang w:val="vi-VN"/>
        </w:rPr>
        <w:t xml:space="preserve">Đối với các sản phẩm, hàng hóa y tế chưa ban hành QCVN, chưa có biện pháp quản lý theo quy chuẩn kỹ thuật tương ứng, để tránh khoảng trống pháp lý và không gây ách tắc trong hoạt động sản xuất, kinh doanh, nhập khẩu, lưu thông, cung ứng sản phẩm, hàng hóa y tế, các sản phẩm, hàng hóa này </w:t>
      </w:r>
      <w:r w:rsidRPr="00AA7A49">
        <w:rPr>
          <w:b/>
          <w:bCs/>
          <w:i/>
          <w:iCs/>
          <w:lang w:val="vi-VN"/>
        </w:rPr>
        <w:t xml:space="preserve">tiếp tục thực hiện quản lý theo quy định của pháp luật chuyên ngành hiện hành, </w:t>
      </w:r>
      <w:r w:rsidRPr="00AA7A49">
        <w:rPr>
          <w:i/>
          <w:iCs/>
          <w:lang w:val="vi-VN"/>
        </w:rPr>
        <w:t>không làm phát sinh thêm thủ tục hoặc yêu cầu quản lý ngoài thẩm quyền.”</w:t>
      </w:r>
    </w:p>
    <w:p w14:paraId="4EB60D05" w14:textId="75F8C3FB" w:rsidR="001945A9" w:rsidRPr="008532AF" w:rsidRDefault="001945A9" w:rsidP="001945A9">
      <w:pPr>
        <w:spacing w:after="120"/>
        <w:ind w:firstLine="567"/>
        <w:jc w:val="both"/>
        <w:rPr>
          <w:b/>
          <w:i/>
          <w:lang w:val="pt-BR"/>
        </w:rPr>
      </w:pPr>
      <w:r w:rsidRPr="008532AF">
        <w:rPr>
          <w:b/>
          <w:i/>
          <w:lang w:val="pt-BR"/>
        </w:rPr>
        <w:t xml:space="preserve">2.2. Về việc kiểm định an toàn và tính năng kỹ thuật </w:t>
      </w:r>
      <w:r>
        <w:rPr>
          <w:b/>
          <w:i/>
          <w:lang w:val="pt-BR"/>
        </w:rPr>
        <w:t>TBYT</w:t>
      </w:r>
      <w:r w:rsidRPr="008532AF">
        <w:rPr>
          <w:b/>
          <w:i/>
          <w:lang w:val="pt-BR"/>
        </w:rPr>
        <w:t>:</w:t>
      </w:r>
    </w:p>
    <w:p w14:paraId="391E5CEC" w14:textId="77777777" w:rsidR="001945A9" w:rsidRDefault="001945A9" w:rsidP="001945A9">
      <w:pPr>
        <w:spacing w:after="120"/>
        <w:ind w:firstLine="567"/>
        <w:jc w:val="both"/>
        <w:rPr>
          <w:bCs/>
          <w:iCs/>
          <w:lang w:val="pt-BR"/>
        </w:rPr>
      </w:pPr>
      <w:r w:rsidRPr="007810B5">
        <w:rPr>
          <w:bCs/>
          <w:i/>
          <w:lang w:val="pt-BR"/>
        </w:rPr>
        <w:t>a)</w:t>
      </w:r>
      <w:r>
        <w:rPr>
          <w:b/>
          <w:i/>
          <w:lang w:val="pt-BR"/>
        </w:rPr>
        <w:t xml:space="preserve"> </w:t>
      </w:r>
      <w:r w:rsidRPr="008532AF">
        <w:rPr>
          <w:bCs/>
          <w:i/>
          <w:lang w:val="pt-BR"/>
        </w:rPr>
        <w:t>Đảm bảo đồng bộ và phù hợp nguyên tắc áp dụng pháp luật, khả thi trong việc triển khai áp dụng</w:t>
      </w:r>
      <w:r>
        <w:rPr>
          <w:bCs/>
          <w:iCs/>
          <w:lang w:val="pt-BR"/>
        </w:rPr>
        <w:t>:</w:t>
      </w:r>
    </w:p>
    <w:p w14:paraId="5CDF96FC" w14:textId="77777777" w:rsidR="001945A9" w:rsidRDefault="001945A9" w:rsidP="001945A9">
      <w:pPr>
        <w:spacing w:after="120"/>
        <w:ind w:firstLine="567"/>
        <w:jc w:val="both"/>
        <w:rPr>
          <w:bCs/>
          <w:iCs/>
          <w:lang w:val="pt-BR"/>
        </w:rPr>
      </w:pPr>
      <w:r>
        <w:rPr>
          <w:bCs/>
          <w:iCs/>
          <w:lang w:val="pt-BR"/>
        </w:rPr>
        <w:t xml:space="preserve">- Do lộ trình quy định tại </w:t>
      </w:r>
      <w:r w:rsidRPr="009E431A">
        <w:rPr>
          <w:bCs/>
          <w:iCs/>
          <w:lang w:val="pt-BR"/>
        </w:rPr>
        <w:t>Thông tư số 05/2022/TT-BYT được sửa đổi, bổ sung một số điều tại Thông tư số 59/2025/TT-BYT</w:t>
      </w:r>
      <w:r>
        <w:rPr>
          <w:bCs/>
          <w:iCs/>
          <w:lang w:val="pt-BR"/>
        </w:rPr>
        <w:t xml:space="preserve"> có mốc thời gian là ngày 01/7/2026. Nếu không dừng hiệu lực về danh mục và lộ trình, Bộ Y tế sẽ vẫn phải </w:t>
      </w:r>
      <w:r>
        <w:rPr>
          <w:bCs/>
          <w:iCs/>
          <w:lang w:val="pt-BR"/>
        </w:rPr>
        <w:lastRenderedPageBreak/>
        <w:t xml:space="preserve">xem xét cấp Giấy đăng ký kiểm định cho các tổ chức đăng ký, các cơ sở y tế vẫn phải thực hiện </w:t>
      </w:r>
      <w:r w:rsidRPr="00651106">
        <w:rPr>
          <w:bCs/>
          <w:iCs/>
          <w:lang w:val="pt-BR"/>
        </w:rPr>
        <w:t>kiểm định an toàn và tính năng kỹ thuật</w:t>
      </w:r>
      <w:r>
        <w:rPr>
          <w:bCs/>
          <w:iCs/>
          <w:lang w:val="pt-BR"/>
        </w:rPr>
        <w:t xml:space="preserve"> TBYT trong danh mục nhưng k</w:t>
      </w:r>
      <w:r w:rsidRPr="002F4E0A">
        <w:rPr>
          <w:bCs/>
          <w:iCs/>
          <w:lang w:val="pt-BR"/>
        </w:rPr>
        <w:t>hông còn căn cứ pháp lý để quy định</w:t>
      </w:r>
      <w:r>
        <w:rPr>
          <w:bCs/>
          <w:iCs/>
          <w:lang w:val="pt-BR"/>
        </w:rPr>
        <w:t>.</w:t>
      </w:r>
    </w:p>
    <w:p w14:paraId="08B025CE" w14:textId="77777777" w:rsidR="001945A9" w:rsidRPr="00123E14" w:rsidRDefault="001945A9" w:rsidP="001945A9">
      <w:pPr>
        <w:tabs>
          <w:tab w:val="left" w:pos="4111"/>
        </w:tabs>
        <w:spacing w:after="120"/>
        <w:ind w:firstLine="567"/>
        <w:jc w:val="both"/>
        <w:rPr>
          <w:bCs/>
          <w:iCs/>
          <w:lang w:val="pt-BR"/>
        </w:rPr>
      </w:pPr>
      <w:r w:rsidRPr="002F4E0A">
        <w:rPr>
          <w:bCs/>
          <w:iCs/>
          <w:lang w:val="pt-BR"/>
        </w:rPr>
        <w:t xml:space="preserve">-  </w:t>
      </w:r>
      <w:r w:rsidRPr="00B024CB">
        <w:rPr>
          <w:bCs/>
          <w:iCs/>
          <w:lang w:val="vi-VN"/>
        </w:rPr>
        <w:t xml:space="preserve">Không có căn cứ pháp lý để quy định thực hiện việc kiểm định an toàn và tính năng kỹ thuật </w:t>
      </w:r>
      <w:r>
        <w:rPr>
          <w:bCs/>
          <w:iCs/>
          <w:lang w:val="vi-VN"/>
        </w:rPr>
        <w:t>TBYT</w:t>
      </w:r>
      <w:r w:rsidRPr="00B024CB">
        <w:rPr>
          <w:bCs/>
          <w:iCs/>
          <w:lang w:val="vi-VN"/>
        </w:rPr>
        <w:t>.</w:t>
      </w:r>
      <w:r>
        <w:rPr>
          <w:bCs/>
          <w:iCs/>
        </w:rPr>
        <w:t xml:space="preserve"> </w:t>
      </w:r>
      <w:r>
        <w:rPr>
          <w:bCs/>
          <w:iCs/>
          <w:lang w:val="pt-BR"/>
        </w:rPr>
        <w:t>Nếu không dừng hiệu lực, c</w:t>
      </w:r>
      <w:r w:rsidRPr="002F4E0A">
        <w:rPr>
          <w:bCs/>
          <w:iCs/>
          <w:lang w:val="pt-BR"/>
        </w:rPr>
        <w:t xml:space="preserve">ơ sở y tế phải thực hiện việc kiểm định an toàn và tính năng kỹ thuật </w:t>
      </w:r>
      <w:r>
        <w:rPr>
          <w:bCs/>
          <w:iCs/>
          <w:lang w:val="pt-BR"/>
        </w:rPr>
        <w:t>TBYT</w:t>
      </w:r>
      <w:r w:rsidRPr="002F4E0A">
        <w:rPr>
          <w:bCs/>
          <w:iCs/>
          <w:lang w:val="pt-BR"/>
        </w:rPr>
        <w:t xml:space="preserve"> dù đã không còn quy định về việc kiểm định tại Luật Chất lượng sản phẩm, hàng hóa.</w:t>
      </w:r>
    </w:p>
    <w:p w14:paraId="68A704A9" w14:textId="77777777" w:rsidR="001945A9" w:rsidRPr="009D452E" w:rsidRDefault="001945A9" w:rsidP="001945A9">
      <w:pPr>
        <w:tabs>
          <w:tab w:val="left" w:pos="4111"/>
        </w:tabs>
        <w:spacing w:after="120"/>
        <w:ind w:firstLine="567"/>
        <w:jc w:val="both"/>
        <w:rPr>
          <w:bCs/>
          <w:iCs/>
          <w:spacing w:val="-6"/>
          <w:lang w:val="vi-VN"/>
        </w:rPr>
      </w:pPr>
      <w:r w:rsidRPr="009D452E">
        <w:rPr>
          <w:bCs/>
          <w:iCs/>
          <w:spacing w:val="-6"/>
          <w:lang w:val="vi-VN"/>
        </w:rPr>
        <w:t>-  Không có đủ cơ sở kiểm định TBYT để bao phủ trên toàn quốc do căn cứ pháp lý để cấp giấy chứng nhận hoạt động kiểm định đã không còn và các tổ chức đã được cấp giấy chứng nhận kiểm định trong giai đoạn đầu sẽ hết hạn trong năm 2026.</w:t>
      </w:r>
    </w:p>
    <w:p w14:paraId="6A6AA367" w14:textId="77777777" w:rsidR="001945A9" w:rsidRDefault="001945A9" w:rsidP="001945A9">
      <w:pPr>
        <w:tabs>
          <w:tab w:val="left" w:pos="4111"/>
        </w:tabs>
        <w:spacing w:after="120"/>
        <w:ind w:firstLine="567"/>
        <w:jc w:val="both"/>
        <w:rPr>
          <w:bCs/>
          <w:iCs/>
          <w:lang w:val="vi-VN"/>
        </w:rPr>
      </w:pPr>
      <w:r w:rsidRPr="00B024CB">
        <w:rPr>
          <w:bCs/>
          <w:iCs/>
          <w:lang w:val="vi-VN"/>
        </w:rPr>
        <w:t xml:space="preserve">- Dẫn đến nguy cơ việc </w:t>
      </w:r>
      <w:r>
        <w:rPr>
          <w:bCs/>
          <w:iCs/>
          <w:lang w:val="vi-VN"/>
        </w:rPr>
        <w:t>TBYT</w:t>
      </w:r>
      <w:r w:rsidRPr="00B024CB">
        <w:rPr>
          <w:bCs/>
          <w:iCs/>
          <w:lang w:val="vi-VN"/>
        </w:rPr>
        <w:t xml:space="preserve"> phải kiểm định an toàn và tính năng kỹ thuật theo danh mục được Bộ Y tế ban hành sẽ không được kiểm định đầy đủ và tiếp tục bị từ chối thanh toán bảo hiểm y tế.</w:t>
      </w:r>
    </w:p>
    <w:p w14:paraId="180BA8B9" w14:textId="19E8CA30" w:rsidR="001945A9" w:rsidRDefault="001945A9" w:rsidP="001945A9">
      <w:pPr>
        <w:tabs>
          <w:tab w:val="left" w:pos="4111"/>
        </w:tabs>
        <w:spacing w:after="120"/>
        <w:ind w:firstLine="567"/>
        <w:jc w:val="both"/>
        <w:rPr>
          <w:iCs/>
          <w:lang w:val="pt-BR"/>
        </w:rPr>
      </w:pPr>
      <w:r w:rsidRPr="00060396">
        <w:rPr>
          <w:iCs/>
          <w:lang w:val="pt-BR"/>
        </w:rPr>
        <w:t xml:space="preserve">Cục HT&amp;TBYT đề xuất ban hành Thông tư để: </w:t>
      </w:r>
      <w:r w:rsidR="00DF5752" w:rsidRPr="00201A73">
        <w:rPr>
          <w:rFonts w:ascii="Times New Roman Bold" w:hAnsi="Times New Roman Bold"/>
          <w:b/>
          <w:spacing w:val="-2"/>
        </w:rPr>
        <w:t>Tạm ngưng hiệu lự</w:t>
      </w:r>
      <w:r w:rsidR="00DF5752">
        <w:rPr>
          <w:rFonts w:ascii="Times New Roman Bold" w:hAnsi="Times New Roman Bold"/>
          <w:b/>
          <w:spacing w:val="-2"/>
        </w:rPr>
        <w:t>c</w:t>
      </w:r>
      <w:r w:rsidR="00DF5752" w:rsidRPr="00201A73">
        <w:rPr>
          <w:rFonts w:ascii="Times New Roman Bold" w:hAnsi="Times New Roman Bold"/>
          <w:b/>
          <w:spacing w:val="-2"/>
        </w:rPr>
        <w:t xml:space="preserve"> về danh mục thiết bị y tế phải kiểm định an toàn và tính năng kỹ thuật thiết bị y tế</w:t>
      </w:r>
      <w:r w:rsidRPr="00060396">
        <w:rPr>
          <w:i/>
          <w:lang w:val="pt-BR"/>
        </w:rPr>
        <w:t xml:space="preserve">. </w:t>
      </w:r>
      <w:r w:rsidRPr="00060396">
        <w:rPr>
          <w:iCs/>
          <w:lang w:val="pt-BR"/>
        </w:rPr>
        <w:t xml:space="preserve">Nội dung này là phù hợp với thẩm quyền của Bộ Y tế. Văn bản hướng dẫn bằng hình thức Thông tư để </w:t>
      </w:r>
      <w:r w:rsidR="00DF5752">
        <w:rPr>
          <w:iCs/>
          <w:lang w:val="pt-BR"/>
        </w:rPr>
        <w:t>tạm ngưng</w:t>
      </w:r>
      <w:r w:rsidRPr="00060396">
        <w:rPr>
          <w:iCs/>
          <w:lang w:val="pt-BR"/>
        </w:rPr>
        <w:t xml:space="preserve"> hiệu lực quy định nội dung này trong Thông tư số 05/2022/TT-BYT được sửa đổi, bổ sung một số điều tại Thông tư số 59/2025/TT-BYT trong lúc chờ sửa đổi quy định về kiểm định TBYT tại Nghị định số 98/2021/NĐ-CP để </w:t>
      </w:r>
      <w:r>
        <w:rPr>
          <w:iCs/>
          <w:lang w:val="pt-BR"/>
        </w:rPr>
        <w:t>chấm dứt hiệu lực</w:t>
      </w:r>
      <w:r w:rsidRPr="00060396">
        <w:rPr>
          <w:iCs/>
          <w:lang w:val="pt-BR"/>
        </w:rPr>
        <w:t xml:space="preserve"> nội dung kiểm định theo danh mục TBYT do Bộ Y tế ban hành, xem xét đưa vào quy định tại dự thảo Luật Thiết bị y tế sau này.</w:t>
      </w:r>
    </w:p>
    <w:p w14:paraId="12546FD1" w14:textId="289775CD" w:rsidR="001945A9" w:rsidRPr="008532AF" w:rsidRDefault="001945A9" w:rsidP="001945A9">
      <w:pPr>
        <w:spacing w:after="120"/>
        <w:ind w:firstLine="567"/>
        <w:jc w:val="both"/>
        <w:rPr>
          <w:bCs/>
          <w:i/>
          <w:lang w:val="pt-BR"/>
        </w:rPr>
      </w:pPr>
      <w:r w:rsidRPr="00A91556">
        <w:rPr>
          <w:bCs/>
          <w:i/>
          <w:lang w:val="pt-BR"/>
        </w:rPr>
        <w:t>b)</w:t>
      </w:r>
      <w:r w:rsidRPr="008532AF">
        <w:rPr>
          <w:b/>
          <w:i/>
          <w:lang w:val="pt-BR"/>
        </w:rPr>
        <w:t xml:space="preserve"> </w:t>
      </w:r>
      <w:r w:rsidRPr="008532AF">
        <w:rPr>
          <w:bCs/>
          <w:i/>
          <w:lang w:val="pt-BR"/>
        </w:rPr>
        <w:t xml:space="preserve">Tháo gỡ khó khăn, vướng mắc liên quan đến việc thanh toán chi phí dịch vụ kỹ thuật đối với TBYT chưa được thực hiện kiểm định an toàn tính năng và kỹ thuật </w:t>
      </w:r>
      <w:r w:rsidR="00305D8C">
        <w:rPr>
          <w:bCs/>
          <w:i/>
          <w:lang w:val="pt-BR"/>
        </w:rPr>
        <w:t xml:space="preserve">theo </w:t>
      </w:r>
      <w:r w:rsidRPr="008532AF">
        <w:rPr>
          <w:bCs/>
          <w:i/>
          <w:lang w:val="pt-BR"/>
        </w:rPr>
        <w:t>lộ trình quy định tại Thông tư số 05/2022/TT-BYT được sửa đổi, bổ sung một số điều tại Thông tư số 59/2025/TT-BYT</w:t>
      </w:r>
    </w:p>
    <w:p w14:paraId="4C5257A7" w14:textId="77777777" w:rsidR="001945A9" w:rsidRPr="002F4E0A" w:rsidRDefault="001945A9" w:rsidP="001945A9">
      <w:pPr>
        <w:tabs>
          <w:tab w:val="left" w:pos="4111"/>
        </w:tabs>
        <w:spacing w:after="120"/>
        <w:ind w:firstLine="567"/>
        <w:jc w:val="both"/>
        <w:rPr>
          <w:bCs/>
          <w:iCs/>
          <w:lang w:val="pt-BR"/>
        </w:rPr>
      </w:pPr>
      <w:r w:rsidRPr="002F4E0A">
        <w:rPr>
          <w:bCs/>
          <w:iCs/>
          <w:lang w:val="pt-BR"/>
        </w:rPr>
        <w:t xml:space="preserve">- Các cơ sở y tế sẽ có nguy cơ bị xuất toán toàn bộ chi phí bảo hiểm y tế đối với dịch vụ kỹ thuật có sử dụng </w:t>
      </w:r>
      <w:r>
        <w:rPr>
          <w:bCs/>
          <w:iCs/>
          <w:lang w:val="pt-BR"/>
        </w:rPr>
        <w:t>TBYT</w:t>
      </w:r>
      <w:r w:rsidRPr="002F4E0A">
        <w:rPr>
          <w:bCs/>
          <w:iCs/>
          <w:lang w:val="pt-BR"/>
        </w:rPr>
        <w:t xml:space="preserve"> chưa được thực hiện kiểm định an toàn và tính năng kỹ thuật theo danh mục và lộ trình Bộ Y tế đã ban hành mặc dù vẫn liên tục thực hiện công tác khám, chữa bệnh.</w:t>
      </w:r>
    </w:p>
    <w:p w14:paraId="0B69CB29" w14:textId="0DF97A63" w:rsidR="00EA2A47" w:rsidRPr="00745CF1" w:rsidRDefault="001945A9" w:rsidP="001945A9">
      <w:pPr>
        <w:widowControl w:val="0"/>
        <w:spacing w:after="120"/>
        <w:ind w:firstLine="567"/>
        <w:jc w:val="both"/>
        <w:rPr>
          <w:bCs/>
        </w:rPr>
      </w:pPr>
      <w:r>
        <w:rPr>
          <w:lang w:val="pt-BR"/>
        </w:rPr>
        <w:t xml:space="preserve">- </w:t>
      </w:r>
      <w:r w:rsidRPr="0054329D">
        <w:rPr>
          <w:lang w:val="pt-BR"/>
        </w:rPr>
        <w:t>Tính mạng của ng</w:t>
      </w:r>
      <w:r w:rsidRPr="0054329D">
        <w:rPr>
          <w:rFonts w:hint="eastAsia"/>
          <w:lang w:val="pt-BR"/>
        </w:rPr>
        <w:t>ư</w:t>
      </w:r>
      <w:r w:rsidRPr="0054329D">
        <w:rPr>
          <w:lang w:val="pt-BR"/>
        </w:rPr>
        <w:t>ời bệnh là trên hết, tr</w:t>
      </w:r>
      <w:r w:rsidRPr="0054329D">
        <w:rPr>
          <w:rFonts w:hint="eastAsia"/>
          <w:lang w:val="pt-BR"/>
        </w:rPr>
        <w:t>ư</w:t>
      </w:r>
      <w:r w:rsidRPr="0054329D">
        <w:rPr>
          <w:lang w:val="pt-BR"/>
        </w:rPr>
        <w:t xml:space="preserve">ớc hết nếu các </w:t>
      </w:r>
      <w:r>
        <w:rPr>
          <w:lang w:val="pt-BR"/>
        </w:rPr>
        <w:t>TBYT</w:t>
      </w:r>
      <w:r w:rsidRPr="0054329D">
        <w:rPr>
          <w:lang w:val="pt-BR"/>
        </w:rPr>
        <w:t xml:space="preserve"> này bị dừng hoạt </w:t>
      </w:r>
      <w:r w:rsidRPr="0054329D">
        <w:rPr>
          <w:rFonts w:hint="eastAsia"/>
          <w:lang w:val="pt-BR"/>
        </w:rPr>
        <w:t>đ</w:t>
      </w:r>
      <w:r w:rsidRPr="0054329D">
        <w:rPr>
          <w:lang w:val="pt-BR"/>
        </w:rPr>
        <w:t xml:space="preserve">ộng do không </w:t>
      </w:r>
      <w:r w:rsidRPr="0054329D">
        <w:rPr>
          <w:rFonts w:hint="eastAsia"/>
          <w:lang w:val="pt-BR"/>
        </w:rPr>
        <w:t>đư</w:t>
      </w:r>
      <w:r w:rsidRPr="0054329D">
        <w:rPr>
          <w:lang w:val="pt-BR"/>
        </w:rPr>
        <w:t>ợc thanh toán, sẽ ảnh h</w:t>
      </w:r>
      <w:r w:rsidRPr="0054329D">
        <w:rPr>
          <w:rFonts w:hint="eastAsia"/>
          <w:lang w:val="pt-BR"/>
        </w:rPr>
        <w:t>ư</w:t>
      </w:r>
      <w:r w:rsidRPr="0054329D">
        <w:rPr>
          <w:lang w:val="pt-BR"/>
        </w:rPr>
        <w:t xml:space="preserve">ởng trực tiếp </w:t>
      </w:r>
      <w:r w:rsidRPr="0054329D">
        <w:rPr>
          <w:rFonts w:hint="eastAsia"/>
          <w:lang w:val="pt-BR"/>
        </w:rPr>
        <w:t>đ</w:t>
      </w:r>
      <w:r w:rsidRPr="0054329D">
        <w:rPr>
          <w:lang w:val="pt-BR"/>
        </w:rPr>
        <w:t xml:space="preserve">ến </w:t>
      </w:r>
      <w:r>
        <w:rPr>
          <w:lang w:val="pt-BR"/>
        </w:rPr>
        <w:t>việc</w:t>
      </w:r>
      <w:r w:rsidRPr="0054329D">
        <w:rPr>
          <w:lang w:val="pt-BR"/>
        </w:rPr>
        <w:t xml:space="preserve"> thu dung </w:t>
      </w:r>
      <w:r w:rsidRPr="0054329D">
        <w:rPr>
          <w:rFonts w:hint="eastAsia"/>
          <w:lang w:val="pt-BR"/>
        </w:rPr>
        <w:t>đ</w:t>
      </w:r>
      <w:r w:rsidRPr="0054329D">
        <w:rPr>
          <w:lang w:val="pt-BR"/>
        </w:rPr>
        <w:t xml:space="preserve">iều trị </w:t>
      </w:r>
      <w:r>
        <w:rPr>
          <w:lang w:val="pt-BR"/>
        </w:rPr>
        <w:t xml:space="preserve">của cơ sở y tế </w:t>
      </w:r>
      <w:r w:rsidRPr="0054329D">
        <w:rPr>
          <w:lang w:val="pt-BR"/>
        </w:rPr>
        <w:t xml:space="preserve">và tính mạng bệnh nhân (ví dụ: bệnh nhân suy thận giai </w:t>
      </w:r>
      <w:r w:rsidRPr="0054329D">
        <w:rPr>
          <w:rFonts w:hint="eastAsia"/>
          <w:lang w:val="pt-BR"/>
        </w:rPr>
        <w:t>đ</w:t>
      </w:r>
      <w:r w:rsidRPr="0054329D">
        <w:rPr>
          <w:lang w:val="pt-BR"/>
        </w:rPr>
        <w:t xml:space="preserve">oạn 4 không </w:t>
      </w:r>
      <w:r w:rsidRPr="0054329D">
        <w:rPr>
          <w:rFonts w:hint="eastAsia"/>
          <w:lang w:val="pt-BR"/>
        </w:rPr>
        <w:t>đư</w:t>
      </w:r>
      <w:r w:rsidRPr="0054329D">
        <w:rPr>
          <w:lang w:val="pt-BR"/>
        </w:rPr>
        <w:t xml:space="preserve">ợc chạy thận </w:t>
      </w:r>
      <w:r w:rsidRPr="0054329D">
        <w:rPr>
          <w:rFonts w:hint="eastAsia"/>
          <w:lang w:val="pt-BR"/>
        </w:rPr>
        <w:t>đ</w:t>
      </w:r>
      <w:r w:rsidRPr="0054329D">
        <w:rPr>
          <w:lang w:val="pt-BR"/>
        </w:rPr>
        <w:t xml:space="preserve">ịnh kỳ sẽ nguy hiểm </w:t>
      </w:r>
      <w:r w:rsidRPr="0054329D">
        <w:rPr>
          <w:rFonts w:hint="eastAsia"/>
          <w:lang w:val="pt-BR"/>
        </w:rPr>
        <w:t>đ</w:t>
      </w:r>
      <w:r w:rsidRPr="0054329D">
        <w:rPr>
          <w:lang w:val="pt-BR"/>
        </w:rPr>
        <w:t>ến tính mạng).</w:t>
      </w:r>
    </w:p>
    <w:p w14:paraId="6A5F6213" w14:textId="6607CC57" w:rsidR="00EA2A47" w:rsidRDefault="00EA2A47" w:rsidP="001945A9">
      <w:pPr>
        <w:widowControl w:val="0"/>
        <w:spacing w:after="120"/>
        <w:ind w:firstLine="567"/>
        <w:jc w:val="both"/>
        <w:rPr>
          <w:bCs/>
          <w:spacing w:val="-8"/>
        </w:rPr>
      </w:pPr>
      <w:r w:rsidRPr="00745CF1">
        <w:rPr>
          <w:bCs/>
        </w:rPr>
        <w:t xml:space="preserve">Do vậy, để hạn chế đến mức tối đa ảnh hưởng của quy định về kiểm định đến hoạt động của cơ sở, bảo đảm quyền và lợi ích hợp pháp của người bệnh, </w:t>
      </w:r>
      <w:r w:rsidRPr="00745CF1">
        <w:rPr>
          <w:bCs/>
          <w:spacing w:val="-8"/>
        </w:rPr>
        <w:t xml:space="preserve">việc </w:t>
      </w:r>
      <w:r w:rsidR="00305D8C">
        <w:rPr>
          <w:bCs/>
          <w:spacing w:val="-8"/>
        </w:rPr>
        <w:t>t</w:t>
      </w:r>
      <w:r w:rsidR="00305D8C" w:rsidRPr="00305D8C">
        <w:rPr>
          <w:bCs/>
          <w:spacing w:val="-8"/>
        </w:rPr>
        <w:t xml:space="preserve">háo gỡ khó khăn, vướng mắc liên quan đến việc thanh toán chi phí dịch vụ kỹ thuật đối với TBYT chưa được thực hiện kiểm định an toàn tính năng và kỹ thuật </w:t>
      </w:r>
      <w:r w:rsidR="00305D8C">
        <w:rPr>
          <w:bCs/>
          <w:spacing w:val="-8"/>
        </w:rPr>
        <w:t xml:space="preserve">theo </w:t>
      </w:r>
      <w:r w:rsidR="00305D8C" w:rsidRPr="00305D8C">
        <w:rPr>
          <w:bCs/>
          <w:spacing w:val="-8"/>
        </w:rPr>
        <w:t>lộ trình quy định tại Thông tư số 05/2022/TT-BYT được sửa đổi, bổ sung một số điều tại Thông tư số 59/2025/TT-BYT</w:t>
      </w:r>
      <w:r w:rsidRPr="00745CF1">
        <w:rPr>
          <w:bCs/>
          <w:spacing w:val="-8"/>
        </w:rPr>
        <w:t xml:space="preserve"> là cần thiết.</w:t>
      </w:r>
    </w:p>
    <w:p w14:paraId="2658801F" w14:textId="77777777" w:rsidR="00AE69C5" w:rsidRPr="00745CF1" w:rsidRDefault="00AE69C5" w:rsidP="000C4340">
      <w:pPr>
        <w:spacing w:after="120"/>
        <w:ind w:firstLine="567"/>
        <w:jc w:val="both"/>
        <w:rPr>
          <w:lang w:val="nl-NL"/>
        </w:rPr>
      </w:pPr>
      <w:r w:rsidRPr="00745CF1">
        <w:rPr>
          <w:b/>
          <w:bCs/>
          <w:lang w:val="nl-NL"/>
        </w:rPr>
        <w:lastRenderedPageBreak/>
        <w:t>II. MỤC ĐÍCH BAN HÀNH, QUAN ĐIỂM XÂY DỰNG DỰ THẢO THÔNG TƯ</w:t>
      </w:r>
    </w:p>
    <w:p w14:paraId="2C37DD4F" w14:textId="77777777" w:rsidR="00AE69C5" w:rsidRPr="00745CF1" w:rsidRDefault="00AE69C5" w:rsidP="000C4340">
      <w:pPr>
        <w:spacing w:after="120"/>
        <w:ind w:firstLine="567"/>
        <w:jc w:val="both"/>
        <w:rPr>
          <w:lang w:val="nl-NL"/>
        </w:rPr>
      </w:pPr>
      <w:r w:rsidRPr="00745CF1">
        <w:rPr>
          <w:b/>
          <w:bCs/>
          <w:lang w:val="nl-NL"/>
        </w:rPr>
        <w:t>1. Mục đích ban hành văn bản</w:t>
      </w:r>
    </w:p>
    <w:p w14:paraId="79B2A0EC" w14:textId="775E3A84" w:rsidR="00AA3FFF" w:rsidRDefault="005237F7" w:rsidP="000C4340">
      <w:pPr>
        <w:spacing w:after="120"/>
        <w:ind w:firstLine="567"/>
        <w:jc w:val="both"/>
        <w:rPr>
          <w:bCs/>
        </w:rPr>
      </w:pPr>
      <w:r w:rsidRPr="00745CF1">
        <w:rPr>
          <w:lang w:val="nl-NL"/>
        </w:rPr>
        <w:t xml:space="preserve">Dự thảo Thông tư dự kiến </w:t>
      </w:r>
      <w:r w:rsidR="00AA3FFF">
        <w:rPr>
          <w:lang w:val="nl-NL"/>
        </w:rPr>
        <w:t>q</w:t>
      </w:r>
      <w:r w:rsidR="00AA3FFF" w:rsidRPr="00AA3FFF">
        <w:rPr>
          <w:lang w:val="nl-NL"/>
        </w:rPr>
        <w:t>uy định về xác định mức độ rủi ro, biện pháp quản lý đối với sản phẩm, hàng hóa là thiết bị y tế và tạm ngưng hiệu lực về danh mục thiết bị y tế phải kiểm định an toàn và tính năng kỹ thuật thiết bị y tế</w:t>
      </w:r>
      <w:r w:rsidRPr="00745CF1">
        <w:rPr>
          <w:lang w:val="nl-NL"/>
        </w:rPr>
        <w:t xml:space="preserve"> </w:t>
      </w:r>
      <w:r w:rsidRPr="00745CF1">
        <w:rPr>
          <w:bCs/>
        </w:rPr>
        <w:t>để</w:t>
      </w:r>
      <w:r w:rsidR="00AA3FFF">
        <w:rPr>
          <w:bCs/>
        </w:rPr>
        <w:t xml:space="preserve"> thực hiện 03 mục tiêu</w:t>
      </w:r>
      <w:r w:rsidR="000C4340">
        <w:rPr>
          <w:bCs/>
        </w:rPr>
        <w:t xml:space="preserve"> chính</w:t>
      </w:r>
      <w:r w:rsidR="00AA3FFF">
        <w:rPr>
          <w:bCs/>
        </w:rPr>
        <w:t>:</w:t>
      </w:r>
    </w:p>
    <w:p w14:paraId="4872B7CE" w14:textId="320BBB33" w:rsidR="000C4340" w:rsidRDefault="005B6ADD" w:rsidP="000C4340">
      <w:pPr>
        <w:spacing w:after="120"/>
        <w:ind w:firstLine="567"/>
        <w:jc w:val="both"/>
        <w:rPr>
          <w:bCs/>
        </w:rPr>
      </w:pPr>
      <w:r>
        <w:rPr>
          <w:bCs/>
        </w:rPr>
        <w:t xml:space="preserve">a) </w:t>
      </w:r>
      <w:r w:rsidR="000C4340">
        <w:rPr>
          <w:bCs/>
        </w:rPr>
        <w:t>Q</w:t>
      </w:r>
      <w:r w:rsidR="000C4340" w:rsidRPr="000C4340">
        <w:rPr>
          <w:bCs/>
        </w:rPr>
        <w:t xml:space="preserve">uy định việc xác định mức độ rủi ro và </w:t>
      </w:r>
      <w:r w:rsidR="000C4340">
        <w:rPr>
          <w:bCs/>
        </w:rPr>
        <w:t xml:space="preserve">biện pháp </w:t>
      </w:r>
      <w:r w:rsidR="000C4340" w:rsidRPr="000C4340">
        <w:rPr>
          <w:bCs/>
        </w:rPr>
        <w:t>quản lý TBYT tiếp tục thực hiện theo Nghị định 98/2021/NĐ-CP để phù hợp với Điều ước quốc tế (ASEAN AMDD) và đảm bảo tính liên tục và có biện pháp, kế hoạch hài hòa với quy định của Nghị định số 37/2026/NĐ-CP</w:t>
      </w:r>
      <w:r w:rsidR="000C4340">
        <w:rPr>
          <w:bCs/>
        </w:rPr>
        <w:t>.</w:t>
      </w:r>
    </w:p>
    <w:p w14:paraId="535900BF" w14:textId="4ACB8769" w:rsidR="000C4340" w:rsidRDefault="005B6ADD" w:rsidP="000C4340">
      <w:pPr>
        <w:spacing w:after="120"/>
        <w:ind w:firstLine="567"/>
        <w:jc w:val="both"/>
        <w:rPr>
          <w:bCs/>
        </w:rPr>
      </w:pPr>
      <w:r>
        <w:rPr>
          <w:bCs/>
        </w:rPr>
        <w:t xml:space="preserve">b) </w:t>
      </w:r>
      <w:r w:rsidR="000C4340" w:rsidRPr="000C4340">
        <w:rPr>
          <w:bCs/>
        </w:rPr>
        <w:t xml:space="preserve">Cho phép </w:t>
      </w:r>
      <w:r w:rsidR="000C4340">
        <w:rPr>
          <w:bCs/>
        </w:rPr>
        <w:t>tạm ngưng</w:t>
      </w:r>
      <w:r w:rsidR="000C4340" w:rsidRPr="000C4340">
        <w:rPr>
          <w:bCs/>
        </w:rPr>
        <w:t xml:space="preserve"> hiệu lực thi hành về danh mục và lộ trình kiểm định an toàn và tính năng kỹ thuật đối với 06 loại TBYT tại Thông tư 05/2022/TT-BYT và Thông tư 59/2025/TT-BYT</w:t>
      </w:r>
      <w:r w:rsidR="000C4340">
        <w:rPr>
          <w:bCs/>
        </w:rPr>
        <w:t xml:space="preserve"> </w:t>
      </w:r>
      <w:r w:rsidR="000C4340" w:rsidRPr="00060396">
        <w:rPr>
          <w:iCs/>
          <w:lang w:val="pt-BR"/>
        </w:rPr>
        <w:t xml:space="preserve">trong lúc chờ sửa đổi quy định về kiểm định TBYT tại Nghị định số 98/2021/NĐ-CP </w:t>
      </w:r>
      <w:r w:rsidR="000C4340">
        <w:rPr>
          <w:iCs/>
          <w:lang w:val="pt-BR"/>
        </w:rPr>
        <w:t>chấm dứt hiệu lực</w:t>
      </w:r>
      <w:r w:rsidR="000C4340" w:rsidRPr="00060396">
        <w:rPr>
          <w:iCs/>
          <w:lang w:val="pt-BR"/>
        </w:rPr>
        <w:t xml:space="preserve"> nội dung kiểm định theo danh mục TBYT do Bộ Y tế ban hành</w:t>
      </w:r>
      <w:r w:rsidR="000C4340">
        <w:rPr>
          <w:iCs/>
          <w:lang w:val="pt-BR"/>
        </w:rPr>
        <w:t xml:space="preserve"> để phù hợp với quy định tại Luật Chất lượng sản phẩm, hành hòa và</w:t>
      </w:r>
      <w:r w:rsidR="000C4340" w:rsidRPr="00060396">
        <w:rPr>
          <w:iCs/>
          <w:lang w:val="pt-BR"/>
        </w:rPr>
        <w:t xml:space="preserve"> xem xét đưa vào quy định tại dự thảo Luật Thiết bị y tế sau này</w:t>
      </w:r>
      <w:r w:rsidR="000C4340">
        <w:rPr>
          <w:iCs/>
          <w:lang w:val="pt-BR"/>
        </w:rPr>
        <w:t>.</w:t>
      </w:r>
    </w:p>
    <w:p w14:paraId="7631F471" w14:textId="1883EBD6" w:rsidR="00AE69C5" w:rsidRPr="00745CF1" w:rsidRDefault="005B6ADD" w:rsidP="000C4340">
      <w:pPr>
        <w:spacing w:after="120"/>
        <w:ind w:firstLine="567"/>
        <w:jc w:val="both"/>
        <w:rPr>
          <w:lang w:val="vi-VN"/>
        </w:rPr>
      </w:pPr>
      <w:r>
        <w:rPr>
          <w:bCs/>
        </w:rPr>
        <w:t xml:space="preserve">c) </w:t>
      </w:r>
      <w:r w:rsidR="000C4340" w:rsidRPr="000C4340">
        <w:rPr>
          <w:bCs/>
        </w:rPr>
        <w:t>Quy định rõ việc cho phép các cơ sở y tế sử dụng TBYT chưa thực hiện kiểm định theo lộ trình cũ được quy định tại Thông tư 05/2022/TT-BYT đến ngày Thông tư 59/2025/TT-BYT có hiệu lực, với điều kiện cơ sở y tế cam kết thực hiện đầy đủ việc bảo trì, bảo dưỡng, đảm bảo thiết bị hoạt động an toàn theo quy định của Nghị định số 98/2021/NĐ-CP</w:t>
      </w:r>
      <w:r w:rsidR="005237F7" w:rsidRPr="00745CF1">
        <w:rPr>
          <w:bCs/>
        </w:rPr>
        <w:t xml:space="preserve"> </w:t>
      </w:r>
      <w:r w:rsidR="000C4340">
        <w:rPr>
          <w:bCs/>
        </w:rPr>
        <w:t xml:space="preserve">để </w:t>
      </w:r>
      <w:r w:rsidR="005237F7" w:rsidRPr="00745CF1">
        <w:rPr>
          <w:bCs/>
        </w:rPr>
        <w:t>hạn chế đến mức tối đa ảnh hưởng của quy định về kiểm định</w:t>
      </w:r>
      <w:r w:rsidR="000C4340">
        <w:rPr>
          <w:bCs/>
        </w:rPr>
        <w:t xml:space="preserve"> TBYT</w:t>
      </w:r>
      <w:r w:rsidR="005237F7" w:rsidRPr="00745CF1">
        <w:rPr>
          <w:bCs/>
        </w:rPr>
        <w:t xml:space="preserve"> đến hoạt động của cơ sở</w:t>
      </w:r>
      <w:r w:rsidR="000C4340">
        <w:rPr>
          <w:bCs/>
        </w:rPr>
        <w:t xml:space="preserve"> y tế</w:t>
      </w:r>
      <w:r w:rsidR="005237F7" w:rsidRPr="00745CF1">
        <w:rPr>
          <w:bCs/>
        </w:rPr>
        <w:t>, bảo đảm quyền và lợi ích hợp pháp của người bệnh</w:t>
      </w:r>
      <w:r w:rsidR="001304A4" w:rsidRPr="00745CF1">
        <w:rPr>
          <w:lang w:val="vi-VN"/>
        </w:rPr>
        <w:t>.</w:t>
      </w:r>
    </w:p>
    <w:p w14:paraId="757B7D99" w14:textId="77777777" w:rsidR="00AE69C5" w:rsidRPr="00745CF1" w:rsidRDefault="00AE69C5" w:rsidP="000C4340">
      <w:pPr>
        <w:spacing w:after="120"/>
        <w:ind w:firstLine="567"/>
        <w:jc w:val="both"/>
        <w:rPr>
          <w:lang w:val="nl-NL"/>
        </w:rPr>
      </w:pPr>
      <w:r w:rsidRPr="00745CF1">
        <w:rPr>
          <w:b/>
          <w:bCs/>
          <w:lang w:val="nl-NL"/>
        </w:rPr>
        <w:t>2. Quan điểm xây dựng dự thảo Thông tư</w:t>
      </w:r>
    </w:p>
    <w:p w14:paraId="1D8E3BD0" w14:textId="448E6ABC" w:rsidR="00AE69C5" w:rsidRPr="00745CF1" w:rsidRDefault="00AE69C5" w:rsidP="000C4340">
      <w:pPr>
        <w:widowControl w:val="0"/>
        <w:shd w:val="clear" w:color="auto" w:fill="FFFFFF"/>
        <w:spacing w:after="120"/>
        <w:ind w:firstLine="567"/>
        <w:jc w:val="both"/>
        <w:rPr>
          <w:lang w:val="vi-VN"/>
        </w:rPr>
      </w:pPr>
      <w:r w:rsidRPr="00745CF1">
        <w:rPr>
          <w:lang w:val="nl-NL"/>
        </w:rPr>
        <w:t>a)</w:t>
      </w:r>
      <w:r w:rsidRPr="00745CF1">
        <w:rPr>
          <w:b/>
          <w:bCs/>
          <w:lang w:val="nl-NL"/>
        </w:rPr>
        <w:t xml:space="preserve"> </w:t>
      </w:r>
      <w:r w:rsidRPr="00745CF1">
        <w:rPr>
          <w:lang w:val="nl-NL"/>
        </w:rPr>
        <w:t>Đảm bảo phù hợp với Hiến pháp,</w:t>
      </w:r>
      <w:r w:rsidR="00D80708" w:rsidRPr="00745CF1">
        <w:rPr>
          <w:lang w:val="vi-VN"/>
        </w:rPr>
        <w:t xml:space="preserve"> thực hiện đúng chủ trương của Đảng, Nhà nước </w:t>
      </w:r>
      <w:r w:rsidRPr="00745CF1">
        <w:rPr>
          <w:lang w:val="nl-NL"/>
        </w:rPr>
        <w:t>(</w:t>
      </w:r>
      <w:r w:rsidR="000C4340" w:rsidRPr="000C4340">
        <w:rPr>
          <w:spacing w:val="-6"/>
        </w:rPr>
        <w:t xml:space="preserve">Luật Điều ước quốc tế </w:t>
      </w:r>
      <w:r w:rsidR="000C4340">
        <w:rPr>
          <w:spacing w:val="-6"/>
        </w:rPr>
        <w:t>năm 2016</w:t>
      </w:r>
      <w:r w:rsidR="000C4340">
        <w:rPr>
          <w:lang w:val="nl-NL"/>
        </w:rPr>
        <w:t>;</w:t>
      </w:r>
      <w:r w:rsidRPr="00745CF1">
        <w:rPr>
          <w:lang w:val="nl-NL"/>
        </w:rPr>
        <w:t xml:space="preserve"> </w:t>
      </w:r>
      <w:r w:rsidR="00D80708" w:rsidRPr="00745CF1">
        <w:rPr>
          <w:rFonts w:eastAsia="MS Mincho"/>
        </w:rPr>
        <w:t>Luật Ban hành văn bản quy phạm pháp luật năm 2025</w:t>
      </w:r>
      <w:r w:rsidR="000C4340">
        <w:rPr>
          <w:rFonts w:eastAsia="MS Mincho"/>
        </w:rPr>
        <w:t xml:space="preserve">; </w:t>
      </w:r>
      <w:r w:rsidR="000C4340" w:rsidRPr="000C4340">
        <w:rPr>
          <w:rFonts w:eastAsia="MS Mincho"/>
        </w:rPr>
        <w:t>Luật Chất lượng sản phẩm, hàng hóa</w:t>
      </w:r>
      <w:r w:rsidR="000C4340">
        <w:rPr>
          <w:rFonts w:eastAsia="MS Mincho"/>
        </w:rPr>
        <w:t xml:space="preserve"> năm 2025</w:t>
      </w:r>
      <w:r w:rsidRPr="00745CF1">
        <w:rPr>
          <w:lang w:val="nl-NL"/>
        </w:rPr>
        <w:t>).</w:t>
      </w:r>
    </w:p>
    <w:p w14:paraId="46B090F3" w14:textId="05451F18" w:rsidR="00957765" w:rsidRPr="00745CF1" w:rsidRDefault="00AE69C5" w:rsidP="000C4340">
      <w:pPr>
        <w:widowControl w:val="0"/>
        <w:shd w:val="clear" w:color="auto" w:fill="FFFFFF"/>
        <w:spacing w:after="120"/>
        <w:ind w:firstLine="567"/>
        <w:jc w:val="both"/>
        <w:rPr>
          <w:lang w:val="vi-VN"/>
        </w:rPr>
      </w:pPr>
      <w:r w:rsidRPr="00745CF1">
        <w:rPr>
          <w:lang w:val="nl-NL"/>
        </w:rPr>
        <w:t>b) Đảm bảo phù hợp với các quy định tại</w:t>
      </w:r>
      <w:r w:rsidRPr="00745CF1">
        <w:rPr>
          <w:rFonts w:eastAsia="Calibri"/>
          <w:lang w:val="nl-NL"/>
        </w:rPr>
        <w:t xml:space="preserve"> </w:t>
      </w:r>
      <w:r w:rsidR="004C4D37" w:rsidRPr="004C4D37">
        <w:rPr>
          <w:rFonts w:eastAsia="Calibri"/>
          <w:lang w:val="nl-NL"/>
        </w:rPr>
        <w:t>Nghị định số 37/2026/NĐ-CP ngày 23 tháng 01 năm 2026 của Chính phủ quy định chi tiết một số điều và biện pháp để tổ chức, hướng dẫn thi hành Luật Chất lượng sản phẩm, hàng hóa;</w:t>
      </w:r>
      <w:r w:rsidR="004C4D37">
        <w:rPr>
          <w:rFonts w:eastAsia="Calibri"/>
          <w:lang w:val="nl-NL"/>
        </w:rPr>
        <w:t xml:space="preserve"> </w:t>
      </w:r>
      <w:r w:rsidR="004C4D37" w:rsidRPr="004C4D37">
        <w:rPr>
          <w:rFonts w:eastAsia="Calibri"/>
          <w:lang w:val="nl-NL"/>
        </w:rPr>
        <w:t>Nghị định số 98/2021/NĐ-CP ngày 08 tháng 11 năm 2021 của Chính phủ về quản lý thiết bị y tế được sửa đổi, bổ sung bởi Nghị định số 07/2023/NĐ-CP, Nghị định số 96/2023/NĐ-CP và Nghị định số 04/2025/NĐ-CP</w:t>
      </w:r>
      <w:r w:rsidR="004C4D37">
        <w:rPr>
          <w:rFonts w:eastAsia="Calibri"/>
          <w:lang w:val="nl-NL"/>
        </w:rPr>
        <w:t xml:space="preserve"> và</w:t>
      </w:r>
      <w:r w:rsidR="00957765" w:rsidRPr="00745CF1">
        <w:rPr>
          <w:lang w:val="vi-VN"/>
        </w:rPr>
        <w:t xml:space="preserve"> </w:t>
      </w:r>
      <w:r w:rsidR="00957765" w:rsidRPr="00745CF1">
        <w:rPr>
          <w:lang w:val="nl-NL"/>
        </w:rPr>
        <w:t>Nghị định số 96/2023/NĐ-CP ngày 30</w:t>
      </w:r>
      <w:r w:rsidR="00957765" w:rsidRPr="00745CF1">
        <w:rPr>
          <w:lang w:val="vi-VN"/>
        </w:rPr>
        <w:t>/</w:t>
      </w:r>
      <w:r w:rsidR="00957765" w:rsidRPr="00745CF1">
        <w:rPr>
          <w:lang w:val="nl-NL"/>
        </w:rPr>
        <w:t>12</w:t>
      </w:r>
      <w:r w:rsidR="00957765" w:rsidRPr="00745CF1">
        <w:rPr>
          <w:lang w:val="vi-VN"/>
        </w:rPr>
        <w:t>/</w:t>
      </w:r>
      <w:r w:rsidR="00957765" w:rsidRPr="00745CF1">
        <w:rPr>
          <w:lang w:val="nl-NL"/>
        </w:rPr>
        <w:t>2023 của Chính phủ quy định chi tiết một số điều của Luật Khám bệnh, chữa bệnh</w:t>
      </w:r>
      <w:r w:rsidR="0067544E" w:rsidRPr="00745CF1">
        <w:rPr>
          <w:lang w:val="vi-VN"/>
        </w:rPr>
        <w:t>.</w:t>
      </w:r>
    </w:p>
    <w:p w14:paraId="21326BA6" w14:textId="75F3EDB9" w:rsidR="00AE69C5" w:rsidRPr="00745CF1" w:rsidRDefault="00AE69C5" w:rsidP="000C4340">
      <w:pPr>
        <w:widowControl w:val="0"/>
        <w:shd w:val="clear" w:color="auto" w:fill="FFFFFF"/>
        <w:spacing w:after="120"/>
        <w:ind w:firstLine="567"/>
        <w:jc w:val="both"/>
        <w:rPr>
          <w:i/>
          <w:iCs/>
          <w:lang w:val="nl-NL"/>
        </w:rPr>
      </w:pPr>
      <w:r w:rsidRPr="00745CF1">
        <w:rPr>
          <w:lang w:val="nl-NL"/>
        </w:rPr>
        <w:t>c) Tuân thủ thẩm quyền, hình thức, trình tự, thủ tục xây dựng, ban hành Thông tư theo đúng quy định của Luật Ban hành văn bản quy phạm pháp luật.</w:t>
      </w:r>
    </w:p>
    <w:p w14:paraId="71E6B5CD" w14:textId="42BE6096" w:rsidR="00CA2C83" w:rsidRPr="00745CF1" w:rsidRDefault="00CA2C83" w:rsidP="000C4340">
      <w:pPr>
        <w:spacing w:after="120"/>
        <w:ind w:firstLine="567"/>
        <w:jc w:val="both"/>
        <w:rPr>
          <w:b/>
          <w:lang w:val="nl-NL"/>
        </w:rPr>
      </w:pPr>
      <w:r w:rsidRPr="00745CF1">
        <w:rPr>
          <w:b/>
          <w:lang w:val="nl-NL"/>
        </w:rPr>
        <w:t>I</w:t>
      </w:r>
      <w:r w:rsidR="004830F8" w:rsidRPr="00745CF1">
        <w:rPr>
          <w:b/>
          <w:lang w:val="vi-VN"/>
        </w:rPr>
        <w:t>I</w:t>
      </w:r>
      <w:r w:rsidRPr="00745CF1">
        <w:rPr>
          <w:b/>
          <w:bCs/>
          <w:lang w:val="nl-NL"/>
        </w:rPr>
        <w:t>I. QUÁ TRÌNH XÂY DỰNG DỰ THẢO THÔNG TƯ</w:t>
      </w:r>
    </w:p>
    <w:p w14:paraId="21EAECDE" w14:textId="70099B41" w:rsidR="002F6750" w:rsidRPr="00745CF1" w:rsidRDefault="00CA2C83" w:rsidP="000C4340">
      <w:pPr>
        <w:pStyle w:val="ListParagraph"/>
        <w:widowControl w:val="0"/>
        <w:spacing w:after="120"/>
        <w:ind w:left="0" w:firstLine="567"/>
        <w:contextualSpacing/>
        <w:jc w:val="both"/>
        <w:rPr>
          <w:rFonts w:ascii="Times New Roman" w:hAnsi="Times New Roman" w:cs="Times New Roman"/>
          <w:b w:val="0"/>
          <w:bCs/>
          <w:sz w:val="28"/>
          <w:szCs w:val="28"/>
        </w:rPr>
      </w:pPr>
      <w:r w:rsidRPr="00745CF1">
        <w:rPr>
          <w:rFonts w:ascii="Times New Roman" w:hAnsi="Times New Roman" w:cs="Times New Roman"/>
          <w:b w:val="0"/>
          <w:bCs/>
          <w:sz w:val="28"/>
          <w:szCs w:val="28"/>
          <w:lang w:val="vi-VN"/>
        </w:rPr>
        <w:t xml:space="preserve">Cục </w:t>
      </w:r>
      <w:r w:rsidRPr="00745CF1">
        <w:rPr>
          <w:rFonts w:ascii="Times New Roman" w:hAnsi="Times New Roman" w:cs="Times New Roman"/>
          <w:b w:val="0"/>
          <w:bCs/>
          <w:sz w:val="28"/>
          <w:szCs w:val="28"/>
          <w:lang w:val="en-US"/>
        </w:rPr>
        <w:t>HT&amp;TBYT</w:t>
      </w:r>
      <w:r w:rsidRPr="00745CF1">
        <w:rPr>
          <w:rFonts w:ascii="Times New Roman" w:hAnsi="Times New Roman" w:cs="Times New Roman"/>
          <w:b w:val="0"/>
          <w:bCs/>
          <w:sz w:val="28"/>
          <w:szCs w:val="28"/>
        </w:rPr>
        <w:t xml:space="preserve"> đã</w:t>
      </w:r>
      <w:r w:rsidRPr="00745CF1">
        <w:rPr>
          <w:rFonts w:ascii="Times New Roman" w:hAnsi="Times New Roman" w:cs="Times New Roman"/>
          <w:b w:val="0"/>
          <w:bCs/>
          <w:sz w:val="28"/>
          <w:szCs w:val="28"/>
          <w:lang w:val="vi-VN"/>
        </w:rPr>
        <w:t xml:space="preserve"> làm đầu mối </w:t>
      </w:r>
      <w:r w:rsidRPr="00745CF1">
        <w:rPr>
          <w:rFonts w:ascii="Times New Roman" w:hAnsi="Times New Roman" w:cs="Times New Roman"/>
          <w:b w:val="0"/>
          <w:bCs/>
          <w:sz w:val="28"/>
          <w:szCs w:val="28"/>
        </w:rPr>
        <w:t xml:space="preserve">triển khai các bước xây dựng Thông tư, cụ </w:t>
      </w:r>
      <w:r w:rsidRPr="00745CF1">
        <w:rPr>
          <w:rFonts w:ascii="Times New Roman" w:hAnsi="Times New Roman" w:cs="Times New Roman"/>
          <w:b w:val="0"/>
          <w:bCs/>
          <w:sz w:val="28"/>
          <w:szCs w:val="28"/>
        </w:rPr>
        <w:lastRenderedPageBreak/>
        <w:t>thể như sau:</w:t>
      </w:r>
    </w:p>
    <w:p w14:paraId="3C80C570" w14:textId="6D1BF4C7" w:rsidR="00B906A6" w:rsidRDefault="00CA2C83" w:rsidP="000C4340">
      <w:pPr>
        <w:widowControl w:val="0"/>
        <w:spacing w:after="120"/>
        <w:ind w:firstLine="567"/>
        <w:jc w:val="both"/>
      </w:pPr>
      <w:r w:rsidRPr="00745CF1">
        <w:rPr>
          <w:iCs/>
        </w:rPr>
        <w:t xml:space="preserve">1. </w:t>
      </w:r>
      <w:r w:rsidR="00B906A6">
        <w:t xml:space="preserve">Thực hiện Thông báo số 803/TB-BYT ngày 13/5/2026 của Bộ Y tế thông báo kết luận tại cuộc họp trao đổi về việc triển khai một số nội dung của Luật chất lượng sản phẩm, hàng hóa và Nghị định số 37/2026/NĐ-CP ngày 23/01/2026 của Chính phủ quy định chi tiết một số điều </w:t>
      </w:r>
      <w:r w:rsidR="00BB40CD">
        <w:t xml:space="preserve">và biện pháp để tổ chức, hướng dẫn thi hành Luật Chất lượng sản phẩm, hàng hóa đối với sản phẩm, hàng hóa thuộc lĩnh vực y tế; Thực hiện ý chỉ đạo của Thứ trưởng Đỗ Xuân Tuyên tại </w:t>
      </w:r>
      <w:r w:rsidR="001D5C1D">
        <w:t>Phiếu trình số 178/HTTB-CLSD ngày 22/5/2026</w:t>
      </w:r>
      <w:r w:rsidR="00F676D2">
        <w:t xml:space="preserve"> và ý kiến chỉ đạo của Thứ trưởng Thường trực Vũ Mạnh Hà tại Phiếu trình số 185/HTTB-CLSD ngày 26/5/2026 của Cục HT&amp;TBYT báo cáo và xin ý kiến về dự thảo </w:t>
      </w:r>
      <w:r w:rsidR="00F676D2" w:rsidRPr="006E6B0F">
        <w:rPr>
          <w:spacing w:val="-2"/>
        </w:rPr>
        <w:t xml:space="preserve">Tờ trình Ban Thường vụ Đảng ủy Bộ Y tế xin ý kiến về việc tháo gỡ khó khăn, vướng </w:t>
      </w:r>
      <w:r w:rsidR="00F676D2" w:rsidRPr="006E6B0F">
        <w:rPr>
          <w:spacing w:val="-6"/>
        </w:rPr>
        <w:t>mắc liên quan đến việc thanh toán chi phí dịch vụ kỹ thuật đối với thiết bị y tế chưa được thực hiện kiểm định và quy định về kiểm định thiết bị y tế thời gian tới tại Việt Nam</w:t>
      </w:r>
      <w:r w:rsidR="00582128">
        <w:rPr>
          <w:spacing w:val="-6"/>
        </w:rPr>
        <w:t>;</w:t>
      </w:r>
    </w:p>
    <w:p w14:paraId="17146C97" w14:textId="4C6F4D6D" w:rsidR="00582128" w:rsidRDefault="00F676D2" w:rsidP="000C4340">
      <w:pPr>
        <w:widowControl w:val="0"/>
        <w:spacing w:after="120"/>
        <w:ind w:firstLine="567"/>
        <w:jc w:val="both"/>
      </w:pPr>
      <w:r>
        <w:t xml:space="preserve">2. </w:t>
      </w:r>
      <w:r w:rsidR="00582128">
        <w:t xml:space="preserve">Ngày 01/6/2026, </w:t>
      </w:r>
      <w:r>
        <w:t xml:space="preserve">Cục HT&amp;TBYT đã có Công văn số 866/HTTB-CLSD gửi Vụ Pháp chế xin ý kiến về nội dung đề xuất, dự thảo Tờ trình, Phiếu trình Bộ trưởng xin chủ trương xây dựng, ban hành </w:t>
      </w:r>
      <w:r w:rsidR="00582128" w:rsidRPr="00582128">
        <w:t xml:space="preserve">Thông tư quy định chi tiết và hướng dẫn thi hành một số điều của Nghị định số 98/2021/NĐ-CP và Nghị định số 37/2026/NĐ-CP </w:t>
      </w:r>
      <w:r w:rsidR="00582128">
        <w:t>theo</w:t>
      </w:r>
      <w:r w:rsidR="00582128" w:rsidRPr="00582128">
        <w:t xml:space="preserve"> trình tự, thủ tục rút gọn</w:t>
      </w:r>
      <w:r w:rsidR="00582128">
        <w:t xml:space="preserve">; </w:t>
      </w:r>
    </w:p>
    <w:p w14:paraId="4FD2B264" w14:textId="648A6B54" w:rsidR="00582128" w:rsidRDefault="00582128" w:rsidP="00582128">
      <w:pPr>
        <w:widowControl w:val="0"/>
        <w:spacing w:after="120"/>
        <w:ind w:firstLine="567"/>
        <w:jc w:val="both"/>
      </w:pPr>
      <w:r>
        <w:t xml:space="preserve">3. Ngày 03/6/2026, Chi bộ Cục HT&amp;TBYT đã có Tờ trình số 151-TTr/CB Ban Thường vụ </w:t>
      </w:r>
      <w:r w:rsidRPr="00D03DEB">
        <w:rPr>
          <w:lang w:val="pt-BR"/>
        </w:rPr>
        <w:t>Đảng ủy Bộ Y tế</w:t>
      </w:r>
      <w:r>
        <w:rPr>
          <w:lang w:val="pt-BR"/>
        </w:rPr>
        <w:t xml:space="preserve"> x</w:t>
      </w:r>
      <w:r w:rsidRPr="00582128">
        <w:rPr>
          <w:lang w:val="pt-BR"/>
        </w:rPr>
        <w:t>in ý kiến về việc triển khai thực hiện Luật chất lượng sản phẩm, hàng hóa đối với lĩnh vực quản lý Thiết bị Y tế</w:t>
      </w:r>
      <w:r>
        <w:rPr>
          <w:lang w:val="pt-BR"/>
        </w:rPr>
        <w:t>;</w:t>
      </w:r>
    </w:p>
    <w:p w14:paraId="34D2779F" w14:textId="21F555BA" w:rsidR="00582128" w:rsidRDefault="00582128" w:rsidP="000C4340">
      <w:pPr>
        <w:widowControl w:val="0"/>
        <w:spacing w:after="120"/>
        <w:ind w:firstLine="567"/>
        <w:jc w:val="both"/>
      </w:pPr>
      <w:r>
        <w:t>4. Trên cơ sở ý kiến của Ban Thường vụ Đảng ủy Bộ Y tế tại Công văn số 696-CV-ĐU ngày 11/6/2026 và ý kiến của Vụ Pháp chế tại Công văn số 1817/PC ngày 08/6/2026, Cục HT&amp;TBYT đã có Phiếu trình số 207/HTTB-CLSD ngày 13/6/2026 xin ý kiến Bộ trưởng v</w:t>
      </w:r>
      <w:r w:rsidRPr="00582128">
        <w:t>ề việc đề xuất xây dựng, ban hành Thông tư quy định chi tiết và hướng dẫn thi hành một số điều của Nghị định số 98/2021/NĐ-CP ngày 08/11/2021 của Chính phủ về quản lý thiết bị y tế và Nghị định số 37/2026/NĐ-CP ngày 23/01/2026 của Chính phủ quy định chi tiết một số điều và biện pháp để tổ chức, hướng dẫn thi hành Luật Chất lượng sản phẩm, hàng hóa theo trình tự, thủ tục rút gọn</w:t>
      </w:r>
      <w:r w:rsidR="00D5233B">
        <w:t>;</w:t>
      </w:r>
    </w:p>
    <w:p w14:paraId="7CB8177F" w14:textId="6EEDA5CB" w:rsidR="00582128" w:rsidRDefault="00582128" w:rsidP="000C4340">
      <w:pPr>
        <w:widowControl w:val="0"/>
        <w:spacing w:after="120"/>
        <w:ind w:firstLine="567"/>
        <w:jc w:val="both"/>
      </w:pPr>
      <w:r>
        <w:t xml:space="preserve">5. </w:t>
      </w:r>
      <w:r w:rsidR="00D5233B">
        <w:t>Được sự đồng ý của Bộ trưởng và Thứ trưởng Đỗ Xuân Tuyên phụ trách lĩnh vực, Cục HT&amp;TBYT đã tham mưu, trình Lãnh đạo Bộ Y tế ban hành Kế hoạch số 1042/KH-BYT ngày 16/6/2026 về kế hoạch xây dựng Thông tư và Quyết định số 1753/QĐ-BYT ngày 16/6/2026 về việc thành lập Tổ soạn thảo xây dựng Thông tư;</w:t>
      </w:r>
    </w:p>
    <w:p w14:paraId="6BB4F8C0" w14:textId="1F01B40D" w:rsidR="00D5233B" w:rsidRDefault="00D5233B" w:rsidP="000C4340">
      <w:pPr>
        <w:widowControl w:val="0"/>
        <w:spacing w:after="120"/>
        <w:ind w:firstLine="567"/>
        <w:jc w:val="both"/>
      </w:pPr>
      <w:r>
        <w:t>6. Ngày 17/6/2026, Cục HT&amp;TBYT đã tổ chức cuộc họp Nhóm giúp việc Tổ Soạn thảo Thông tư để rà soát, xin ý kiến và xây dựng dự thảo Thông tư;</w:t>
      </w:r>
    </w:p>
    <w:p w14:paraId="29E8DD52" w14:textId="487EDBE7" w:rsidR="00D5233B" w:rsidRDefault="00D5233B" w:rsidP="000C4340">
      <w:pPr>
        <w:widowControl w:val="0"/>
        <w:spacing w:after="120"/>
        <w:ind w:firstLine="567"/>
        <w:jc w:val="both"/>
      </w:pPr>
      <w:r>
        <w:t>…….</w:t>
      </w:r>
    </w:p>
    <w:p w14:paraId="3D65067A" w14:textId="5FC9372C" w:rsidR="00D5233B" w:rsidRDefault="00D5233B" w:rsidP="000C4340">
      <w:pPr>
        <w:widowControl w:val="0"/>
        <w:spacing w:after="120"/>
        <w:ind w:firstLine="567"/>
        <w:jc w:val="both"/>
        <w:rPr>
          <w:iCs/>
        </w:rPr>
      </w:pPr>
      <w:r>
        <w:t>…….</w:t>
      </w:r>
    </w:p>
    <w:p w14:paraId="447787DE" w14:textId="2EA8CDFA" w:rsidR="00CB4657" w:rsidRPr="00D5233B" w:rsidRDefault="00A82A1A" w:rsidP="000C4340">
      <w:pPr>
        <w:spacing w:after="120"/>
        <w:ind w:firstLine="567"/>
        <w:jc w:val="both"/>
        <w:rPr>
          <w:iCs/>
          <w:spacing w:val="-2"/>
        </w:rPr>
      </w:pPr>
      <w:r w:rsidRPr="00D5233B">
        <w:rPr>
          <w:iCs/>
          <w:spacing w:val="-2"/>
          <w:lang w:val="vi-VN"/>
        </w:rPr>
        <w:t>10</w:t>
      </w:r>
      <w:r w:rsidR="00CB4657" w:rsidRPr="00D5233B">
        <w:rPr>
          <w:iCs/>
          <w:spacing w:val="-2"/>
          <w:lang w:val="vi-VN"/>
        </w:rPr>
        <w:t>. Ngày</w:t>
      </w:r>
      <w:r w:rsidR="00FA0403" w:rsidRPr="00D5233B">
        <w:rPr>
          <w:iCs/>
          <w:spacing w:val="-2"/>
        </w:rPr>
        <w:t xml:space="preserve"> </w:t>
      </w:r>
      <w:r w:rsidR="00D5233B" w:rsidRPr="00D5233B">
        <w:rPr>
          <w:iCs/>
          <w:spacing w:val="-2"/>
        </w:rPr>
        <w:t>…</w:t>
      </w:r>
      <w:r w:rsidR="00FA0403" w:rsidRPr="00D5233B">
        <w:rPr>
          <w:iCs/>
          <w:spacing w:val="-2"/>
        </w:rPr>
        <w:t>/</w:t>
      </w:r>
      <w:r w:rsidR="00D5233B" w:rsidRPr="00D5233B">
        <w:rPr>
          <w:iCs/>
          <w:spacing w:val="-2"/>
        </w:rPr>
        <w:t>6</w:t>
      </w:r>
      <w:r w:rsidR="004830F8" w:rsidRPr="00D5233B">
        <w:rPr>
          <w:iCs/>
          <w:spacing w:val="-2"/>
          <w:lang w:val="vi-VN"/>
        </w:rPr>
        <w:t>/202</w:t>
      </w:r>
      <w:r w:rsidR="00D5233B" w:rsidRPr="00D5233B">
        <w:rPr>
          <w:iCs/>
          <w:spacing w:val="-2"/>
        </w:rPr>
        <w:t>6</w:t>
      </w:r>
      <w:r w:rsidR="00CB4657" w:rsidRPr="00D5233B">
        <w:rPr>
          <w:iCs/>
          <w:spacing w:val="-2"/>
          <w:lang w:val="vi-VN"/>
        </w:rPr>
        <w:t xml:space="preserve">, Vụ Pháp chế </w:t>
      </w:r>
      <w:r w:rsidR="00FA0403" w:rsidRPr="00D5233B">
        <w:rPr>
          <w:iCs/>
          <w:spacing w:val="-2"/>
        </w:rPr>
        <w:t xml:space="preserve">đã tổ chức họp thẩm định dự thảo Thông tư </w:t>
      </w:r>
      <w:r w:rsidR="00CB4657" w:rsidRPr="00D5233B">
        <w:rPr>
          <w:iCs/>
          <w:spacing w:val="-2"/>
          <w:lang w:val="vi-VN"/>
        </w:rPr>
        <w:t>có</w:t>
      </w:r>
      <w:r w:rsidR="00FA0403" w:rsidRPr="00D5233B">
        <w:rPr>
          <w:iCs/>
          <w:spacing w:val="-2"/>
        </w:rPr>
        <w:t xml:space="preserve"> và có</w:t>
      </w:r>
      <w:r w:rsidR="00CB4657" w:rsidRPr="00D5233B">
        <w:rPr>
          <w:iCs/>
          <w:spacing w:val="-2"/>
          <w:lang w:val="vi-VN"/>
        </w:rPr>
        <w:t xml:space="preserve"> Báo cáo thẩm định số</w:t>
      </w:r>
      <w:r w:rsidR="00175EBE" w:rsidRPr="00D5233B">
        <w:rPr>
          <w:iCs/>
          <w:spacing w:val="-2"/>
        </w:rPr>
        <w:t xml:space="preserve"> </w:t>
      </w:r>
      <w:r w:rsidR="00D5233B" w:rsidRPr="00D5233B">
        <w:rPr>
          <w:iCs/>
          <w:spacing w:val="-2"/>
        </w:rPr>
        <w:t>…..</w:t>
      </w:r>
      <w:r w:rsidR="004830F8" w:rsidRPr="00D5233B">
        <w:rPr>
          <w:iCs/>
          <w:spacing w:val="-2"/>
          <w:lang w:val="vi-VN"/>
        </w:rPr>
        <w:t>/BC-PC</w:t>
      </w:r>
      <w:r w:rsidR="00175EBE" w:rsidRPr="00D5233B">
        <w:rPr>
          <w:iCs/>
          <w:spacing w:val="-2"/>
        </w:rPr>
        <w:t xml:space="preserve"> ngày </w:t>
      </w:r>
      <w:r w:rsidR="00D5233B" w:rsidRPr="00D5233B">
        <w:rPr>
          <w:iCs/>
          <w:spacing w:val="-2"/>
        </w:rPr>
        <w:t>…</w:t>
      </w:r>
      <w:r w:rsidR="00175EBE" w:rsidRPr="00D5233B">
        <w:rPr>
          <w:iCs/>
          <w:spacing w:val="-2"/>
        </w:rPr>
        <w:t>/</w:t>
      </w:r>
      <w:r w:rsidR="00D5233B" w:rsidRPr="00D5233B">
        <w:rPr>
          <w:iCs/>
          <w:spacing w:val="-2"/>
        </w:rPr>
        <w:t>6</w:t>
      </w:r>
      <w:r w:rsidR="00175EBE" w:rsidRPr="00D5233B">
        <w:rPr>
          <w:iCs/>
          <w:spacing w:val="-2"/>
        </w:rPr>
        <w:t>/202</w:t>
      </w:r>
      <w:r w:rsidR="00D5233B" w:rsidRPr="00D5233B">
        <w:rPr>
          <w:iCs/>
          <w:spacing w:val="-2"/>
        </w:rPr>
        <w:t>6</w:t>
      </w:r>
      <w:r w:rsidR="00CB4657" w:rsidRPr="00D5233B">
        <w:rPr>
          <w:iCs/>
          <w:spacing w:val="-2"/>
          <w:lang w:val="vi-VN"/>
        </w:rPr>
        <w:t xml:space="preserve">; trên cơ sở Báo cáo </w:t>
      </w:r>
      <w:r w:rsidR="00CB4657" w:rsidRPr="00D5233B">
        <w:rPr>
          <w:iCs/>
          <w:spacing w:val="-2"/>
          <w:lang w:val="vi-VN"/>
        </w:rPr>
        <w:lastRenderedPageBreak/>
        <w:t xml:space="preserve">thẩm định của Vụ Pháp chế, Cục </w:t>
      </w:r>
      <w:r w:rsidRPr="00D5233B">
        <w:rPr>
          <w:iCs/>
          <w:spacing w:val="-2"/>
          <w:lang w:val="vi-VN"/>
        </w:rPr>
        <w:t>HT&amp;TBYT</w:t>
      </w:r>
      <w:r w:rsidR="00CB4657" w:rsidRPr="00D5233B">
        <w:rPr>
          <w:iCs/>
          <w:spacing w:val="-2"/>
          <w:lang w:val="vi-VN"/>
        </w:rPr>
        <w:t xml:space="preserve"> </w:t>
      </w:r>
      <w:r w:rsidR="00EF6BEB" w:rsidRPr="00D5233B">
        <w:rPr>
          <w:iCs/>
          <w:spacing w:val="-2"/>
        </w:rPr>
        <w:t xml:space="preserve">có Báo cáo số </w:t>
      </w:r>
      <w:r w:rsidR="006800EE" w:rsidRPr="00D5233B">
        <w:rPr>
          <w:iCs/>
          <w:spacing w:val="-2"/>
        </w:rPr>
        <w:t>…</w:t>
      </w:r>
      <w:r w:rsidR="00EF6BEB" w:rsidRPr="00D5233B">
        <w:rPr>
          <w:iCs/>
          <w:spacing w:val="-2"/>
        </w:rPr>
        <w:t xml:space="preserve">/BC-HTTB ngày </w:t>
      </w:r>
      <w:r w:rsidR="006800EE" w:rsidRPr="00D5233B">
        <w:rPr>
          <w:iCs/>
          <w:spacing w:val="-4"/>
        </w:rPr>
        <w:t>…</w:t>
      </w:r>
      <w:r w:rsidR="00D5233B" w:rsidRPr="00D5233B">
        <w:rPr>
          <w:iCs/>
          <w:spacing w:val="-4"/>
        </w:rPr>
        <w:t>/6</w:t>
      </w:r>
      <w:r w:rsidR="00EF6BEB" w:rsidRPr="00D5233B">
        <w:rPr>
          <w:iCs/>
          <w:spacing w:val="-4"/>
        </w:rPr>
        <w:t>/202</w:t>
      </w:r>
      <w:r w:rsidR="00D5233B" w:rsidRPr="00D5233B">
        <w:rPr>
          <w:iCs/>
          <w:spacing w:val="-4"/>
        </w:rPr>
        <w:t>6</w:t>
      </w:r>
      <w:r w:rsidR="00EF6BEB" w:rsidRPr="00D5233B">
        <w:rPr>
          <w:iCs/>
          <w:spacing w:val="-4"/>
        </w:rPr>
        <w:t xml:space="preserve"> </w:t>
      </w:r>
      <w:r w:rsidR="00CB4657" w:rsidRPr="00D5233B">
        <w:rPr>
          <w:iCs/>
          <w:spacing w:val="-4"/>
          <w:lang w:val="vi-VN"/>
        </w:rPr>
        <w:t>tiếp thu, giải trình ý kiến thẩm định và hoàn thiện hồ sơ dự thảo Thông tư.</w:t>
      </w:r>
    </w:p>
    <w:p w14:paraId="38A41F4C" w14:textId="3B16B865" w:rsidR="00CB4657" w:rsidRPr="005E433C" w:rsidRDefault="00CB4657" w:rsidP="000C4340">
      <w:pPr>
        <w:spacing w:after="120"/>
        <w:ind w:firstLine="567"/>
        <w:jc w:val="both"/>
        <w:rPr>
          <w:iCs/>
          <w:spacing w:val="-2"/>
          <w:lang w:val="vi-VN"/>
        </w:rPr>
      </w:pPr>
      <w:r w:rsidRPr="005E433C">
        <w:rPr>
          <w:iCs/>
          <w:spacing w:val="-2"/>
          <w:lang w:val="vi-VN"/>
        </w:rPr>
        <w:t>1</w:t>
      </w:r>
      <w:r w:rsidR="004615E4" w:rsidRPr="005E433C">
        <w:rPr>
          <w:iCs/>
          <w:spacing w:val="-2"/>
          <w:lang w:val="vi-VN"/>
        </w:rPr>
        <w:t>1</w:t>
      </w:r>
      <w:r w:rsidRPr="005E433C">
        <w:rPr>
          <w:iCs/>
          <w:spacing w:val="-2"/>
          <w:lang w:val="vi-VN"/>
        </w:rPr>
        <w:t>.</w:t>
      </w:r>
      <w:r w:rsidR="004F5453" w:rsidRPr="005E433C">
        <w:rPr>
          <w:iCs/>
          <w:spacing w:val="-2"/>
          <w:lang w:val="vi-VN"/>
        </w:rPr>
        <w:t xml:space="preserve"> Ngày</w:t>
      </w:r>
      <w:r w:rsidR="004F5453" w:rsidRPr="005E433C">
        <w:rPr>
          <w:iCs/>
          <w:spacing w:val="-2"/>
        </w:rPr>
        <w:t xml:space="preserve"> </w:t>
      </w:r>
      <w:r w:rsidR="00D5233B" w:rsidRPr="00D5233B">
        <w:rPr>
          <w:iCs/>
          <w:spacing w:val="-4"/>
        </w:rPr>
        <w:t>…/6/2026</w:t>
      </w:r>
      <w:r w:rsidRPr="005E433C">
        <w:rPr>
          <w:iCs/>
          <w:spacing w:val="-2"/>
          <w:lang w:val="vi-VN"/>
        </w:rPr>
        <w:t xml:space="preserve">, </w:t>
      </w:r>
      <w:r w:rsidR="00FD3933" w:rsidRPr="005E433C">
        <w:rPr>
          <w:iCs/>
          <w:spacing w:val="-2"/>
          <w:lang w:val="vi-VN"/>
        </w:rPr>
        <w:t>Chi bộ</w:t>
      </w:r>
      <w:r w:rsidRPr="005E433C">
        <w:rPr>
          <w:iCs/>
          <w:spacing w:val="-2"/>
          <w:lang w:val="vi-VN"/>
        </w:rPr>
        <w:t xml:space="preserve"> Cục </w:t>
      </w:r>
      <w:r w:rsidR="004615E4" w:rsidRPr="005E433C">
        <w:rPr>
          <w:iCs/>
          <w:spacing w:val="-2"/>
          <w:lang w:val="vi-VN"/>
        </w:rPr>
        <w:t>HT&amp;TBYT</w:t>
      </w:r>
      <w:r w:rsidR="004F5453" w:rsidRPr="005E433C">
        <w:rPr>
          <w:iCs/>
          <w:spacing w:val="-2"/>
          <w:lang w:val="vi-VN"/>
        </w:rPr>
        <w:t xml:space="preserve"> có Tờ trình số</w:t>
      </w:r>
      <w:r w:rsidR="004F5453" w:rsidRPr="005E433C">
        <w:rPr>
          <w:iCs/>
          <w:spacing w:val="-2"/>
        </w:rPr>
        <w:t xml:space="preserve"> </w:t>
      </w:r>
      <w:r w:rsidR="006800EE" w:rsidRPr="005E433C">
        <w:rPr>
          <w:iCs/>
          <w:spacing w:val="-2"/>
        </w:rPr>
        <w:t>…</w:t>
      </w:r>
      <w:r w:rsidR="004F5453" w:rsidRPr="005E433C">
        <w:rPr>
          <w:iCs/>
          <w:spacing w:val="-2"/>
        </w:rPr>
        <w:t>-</w:t>
      </w:r>
      <w:r w:rsidR="004F5453" w:rsidRPr="005E433C">
        <w:rPr>
          <w:iCs/>
          <w:spacing w:val="-2"/>
          <w:lang w:val="vi-VN"/>
        </w:rPr>
        <w:t>TTr</w:t>
      </w:r>
      <w:r w:rsidR="004F5453" w:rsidRPr="005E433C">
        <w:rPr>
          <w:iCs/>
          <w:spacing w:val="-2"/>
        </w:rPr>
        <w:t>/</w:t>
      </w:r>
      <w:r w:rsidR="00FD3933" w:rsidRPr="005E433C">
        <w:rPr>
          <w:iCs/>
          <w:spacing w:val="-2"/>
          <w:lang w:val="vi-VN"/>
        </w:rPr>
        <w:t>CB</w:t>
      </w:r>
      <w:r w:rsidRPr="005E433C">
        <w:rPr>
          <w:iCs/>
          <w:spacing w:val="-2"/>
          <w:lang w:val="vi-VN"/>
        </w:rPr>
        <w:t xml:space="preserve"> trình Ban Thường vụ Đảng ủy Bộ Y tế xin ý kiến đối với </w:t>
      </w:r>
      <w:r w:rsidR="005B6ADD">
        <w:rPr>
          <w:iCs/>
          <w:spacing w:val="-2"/>
        </w:rPr>
        <w:t xml:space="preserve">hồ sơ </w:t>
      </w:r>
      <w:r w:rsidRPr="005E433C">
        <w:rPr>
          <w:iCs/>
          <w:spacing w:val="-2"/>
          <w:lang w:val="vi-VN"/>
        </w:rPr>
        <w:t>dự thảo Thông tư</w:t>
      </w:r>
      <w:r w:rsidR="005B6ADD">
        <w:rPr>
          <w:iCs/>
          <w:spacing w:val="-2"/>
        </w:rPr>
        <w:t xml:space="preserve"> trình ban hành</w:t>
      </w:r>
      <w:r w:rsidRPr="005E433C">
        <w:rPr>
          <w:iCs/>
          <w:spacing w:val="-2"/>
          <w:lang w:val="vi-VN"/>
        </w:rPr>
        <w:t>.</w:t>
      </w:r>
    </w:p>
    <w:p w14:paraId="0C6AED78" w14:textId="0FC3C72D" w:rsidR="00907C25" w:rsidRPr="005E433C" w:rsidRDefault="00CB4657" w:rsidP="000C4340">
      <w:pPr>
        <w:spacing w:after="120"/>
        <w:ind w:firstLine="567"/>
        <w:jc w:val="both"/>
        <w:rPr>
          <w:iCs/>
          <w:lang w:val="vi-VN"/>
        </w:rPr>
      </w:pPr>
      <w:r w:rsidRPr="005E433C">
        <w:rPr>
          <w:iCs/>
          <w:lang w:val="vi-VN"/>
        </w:rPr>
        <w:t>1</w:t>
      </w:r>
      <w:r w:rsidR="004615E4" w:rsidRPr="005E433C">
        <w:rPr>
          <w:iCs/>
          <w:lang w:val="vi-VN"/>
        </w:rPr>
        <w:t>2</w:t>
      </w:r>
      <w:r w:rsidRPr="005E433C">
        <w:rPr>
          <w:iCs/>
          <w:lang w:val="vi-VN"/>
        </w:rPr>
        <w:t>. Thực hiện ý kiến chỉ đạo của Ban Thường vụ Đảng ủy Bộ Y tế</w:t>
      </w:r>
      <w:r w:rsidR="004F5453" w:rsidRPr="005E433C">
        <w:rPr>
          <w:iCs/>
        </w:rPr>
        <w:t xml:space="preserve"> tại Công văn số </w:t>
      </w:r>
      <w:r w:rsidR="006800EE" w:rsidRPr="005E433C">
        <w:rPr>
          <w:iCs/>
        </w:rPr>
        <w:t>…</w:t>
      </w:r>
      <w:r w:rsidR="004F5453" w:rsidRPr="005E433C">
        <w:rPr>
          <w:iCs/>
        </w:rPr>
        <w:t xml:space="preserve">-CV/ĐU ngày </w:t>
      </w:r>
      <w:r w:rsidR="006800EE" w:rsidRPr="005E433C">
        <w:rPr>
          <w:iCs/>
        </w:rPr>
        <w:t>…</w:t>
      </w:r>
      <w:r w:rsidR="004F5453" w:rsidRPr="005E433C">
        <w:rPr>
          <w:iCs/>
        </w:rPr>
        <w:t>/</w:t>
      </w:r>
      <w:r w:rsidR="006800EE" w:rsidRPr="005E433C">
        <w:rPr>
          <w:iCs/>
        </w:rPr>
        <w:t>…</w:t>
      </w:r>
      <w:r w:rsidR="004F5453" w:rsidRPr="005E433C">
        <w:rPr>
          <w:iCs/>
        </w:rPr>
        <w:t>/202</w:t>
      </w:r>
      <w:r w:rsidR="005B6ADD">
        <w:rPr>
          <w:iCs/>
        </w:rPr>
        <w:t>6</w:t>
      </w:r>
      <w:r w:rsidRPr="005E433C">
        <w:rPr>
          <w:iCs/>
          <w:lang w:val="vi-VN"/>
        </w:rPr>
        <w:t xml:space="preserve">, Cục </w:t>
      </w:r>
      <w:r w:rsidR="004615E4" w:rsidRPr="005E433C">
        <w:rPr>
          <w:iCs/>
          <w:lang w:val="vi-VN"/>
        </w:rPr>
        <w:t>HT&amp;TBYT</w:t>
      </w:r>
      <w:r w:rsidRPr="005E433C">
        <w:rPr>
          <w:iCs/>
          <w:lang w:val="vi-VN"/>
        </w:rPr>
        <w:t xml:space="preserve"> đã tiếp thu, giải trình ý kiến góp ý và hoàn thiện hồ sơ dự thảo Thông tư trình </w:t>
      </w:r>
      <w:r w:rsidR="006800EE" w:rsidRPr="005E433C">
        <w:rPr>
          <w:iCs/>
        </w:rPr>
        <w:t>Bộ</w:t>
      </w:r>
      <w:r w:rsidR="004F5453" w:rsidRPr="005E433C">
        <w:rPr>
          <w:iCs/>
        </w:rPr>
        <w:t xml:space="preserve"> trưởng</w:t>
      </w:r>
      <w:r w:rsidRPr="005E433C">
        <w:rPr>
          <w:iCs/>
          <w:lang w:val="vi-VN"/>
        </w:rPr>
        <w:t xml:space="preserve"> xem xét ký ban hành Thông tư.</w:t>
      </w:r>
    </w:p>
    <w:p w14:paraId="41431345" w14:textId="3423412D" w:rsidR="006D3ADA" w:rsidRPr="00745CF1" w:rsidRDefault="00A575F4" w:rsidP="000C4340">
      <w:pPr>
        <w:spacing w:after="120"/>
        <w:ind w:firstLine="567"/>
        <w:jc w:val="both"/>
        <w:rPr>
          <w:b/>
          <w:bCs/>
          <w:lang w:val="nl-NL"/>
        </w:rPr>
      </w:pPr>
      <w:r w:rsidRPr="00745CF1">
        <w:rPr>
          <w:b/>
          <w:bCs/>
          <w:lang w:val="nl-NL"/>
        </w:rPr>
        <w:t>I</w:t>
      </w:r>
      <w:r w:rsidR="00CC330A" w:rsidRPr="00745CF1">
        <w:rPr>
          <w:b/>
          <w:bCs/>
          <w:lang w:val="vi-VN"/>
        </w:rPr>
        <w:t>V</w:t>
      </w:r>
      <w:r w:rsidRPr="00745CF1">
        <w:rPr>
          <w:b/>
          <w:bCs/>
          <w:lang w:val="nl-NL"/>
        </w:rPr>
        <w:t xml:space="preserve">. </w:t>
      </w:r>
      <w:r w:rsidR="00CC330A" w:rsidRPr="00745CF1">
        <w:rPr>
          <w:b/>
          <w:bCs/>
          <w:lang w:val="vi-VN"/>
        </w:rPr>
        <w:t xml:space="preserve">BỐ CỤC VÀ </w:t>
      </w:r>
      <w:r w:rsidRPr="00745CF1">
        <w:rPr>
          <w:b/>
          <w:bCs/>
          <w:lang w:val="nl-NL"/>
        </w:rPr>
        <w:t>NỘI DUNG CƠ BẢN CỦA DỰ THẢO THÔNG TƯ</w:t>
      </w:r>
    </w:p>
    <w:p w14:paraId="5F82A450" w14:textId="407DBF0F" w:rsidR="002C2E8F" w:rsidRPr="005B6ADD" w:rsidRDefault="005B6ADD" w:rsidP="005B6ADD">
      <w:pPr>
        <w:pStyle w:val="NormalWeb"/>
        <w:shd w:val="clear" w:color="auto" w:fill="FFFFFF"/>
        <w:spacing w:before="0" w:beforeAutospacing="0" w:after="120" w:afterAutospacing="0"/>
        <w:ind w:firstLine="567"/>
        <w:jc w:val="both"/>
        <w:rPr>
          <w:b/>
          <w:sz w:val="28"/>
          <w:szCs w:val="28"/>
        </w:rPr>
      </w:pPr>
      <w:r>
        <w:rPr>
          <w:b/>
          <w:sz w:val="28"/>
          <w:szCs w:val="28"/>
          <w:lang w:val="it-IT"/>
        </w:rPr>
        <w:t xml:space="preserve">1. </w:t>
      </w:r>
      <w:r w:rsidR="002C2E8F" w:rsidRPr="00745CF1">
        <w:rPr>
          <w:b/>
          <w:sz w:val="28"/>
          <w:szCs w:val="28"/>
          <w:lang w:val="it-IT"/>
        </w:rPr>
        <w:t>Phạm vi điều chỉnh</w:t>
      </w:r>
    </w:p>
    <w:p w14:paraId="68C8AF8D" w14:textId="77777777" w:rsidR="005B6ADD" w:rsidRPr="005B6ADD" w:rsidRDefault="005B6ADD" w:rsidP="005B6ADD">
      <w:pPr>
        <w:spacing w:after="120"/>
        <w:ind w:firstLine="567"/>
        <w:jc w:val="both"/>
        <w:rPr>
          <w:iCs/>
          <w:spacing w:val="-2"/>
          <w:lang w:val="vi-VN"/>
        </w:rPr>
      </w:pPr>
      <w:r w:rsidRPr="005B6ADD">
        <w:rPr>
          <w:iCs/>
          <w:spacing w:val="-2"/>
          <w:lang w:val="vi-VN"/>
        </w:rPr>
        <w:t>Thông tư này quy định về:</w:t>
      </w:r>
    </w:p>
    <w:p w14:paraId="7603B339" w14:textId="78F2C752" w:rsidR="005B6ADD" w:rsidRPr="005B6ADD" w:rsidRDefault="005B6ADD" w:rsidP="005B6ADD">
      <w:pPr>
        <w:spacing w:after="120"/>
        <w:ind w:firstLine="567"/>
        <w:jc w:val="both"/>
        <w:rPr>
          <w:iCs/>
          <w:spacing w:val="-2"/>
          <w:lang w:val="vi-VN"/>
        </w:rPr>
      </w:pPr>
      <w:r>
        <w:rPr>
          <w:iCs/>
          <w:spacing w:val="-2"/>
        </w:rPr>
        <w:t>a)</w:t>
      </w:r>
      <w:r w:rsidRPr="005B6ADD">
        <w:rPr>
          <w:iCs/>
          <w:spacing w:val="-2"/>
          <w:lang w:val="vi-VN"/>
        </w:rPr>
        <w:t xml:space="preserve"> Xác định mức độ rủi ro và biện pháp quản lý đối với sản phẩm, hàng hóa là thiết bị y tế.</w:t>
      </w:r>
    </w:p>
    <w:p w14:paraId="06FF8D58" w14:textId="199F2242" w:rsidR="005B6ADD" w:rsidRPr="005B6ADD" w:rsidRDefault="005B6ADD" w:rsidP="005B6ADD">
      <w:pPr>
        <w:spacing w:after="120"/>
        <w:ind w:firstLine="567"/>
        <w:jc w:val="both"/>
        <w:rPr>
          <w:iCs/>
          <w:spacing w:val="-2"/>
          <w:lang w:val="vi-VN"/>
        </w:rPr>
      </w:pPr>
      <w:r>
        <w:rPr>
          <w:iCs/>
          <w:spacing w:val="-2"/>
        </w:rPr>
        <w:t>b)</w:t>
      </w:r>
      <w:r w:rsidRPr="005B6ADD">
        <w:rPr>
          <w:iCs/>
          <w:spacing w:val="-2"/>
          <w:lang w:val="vi-VN"/>
        </w:rPr>
        <w:t xml:space="preserve"> Tạm ngưng hiệu lực về danh mục thiết bị y tế phải kiểm định an toàn và tính năng kỹ thuật thiết bị y tế.</w:t>
      </w:r>
    </w:p>
    <w:p w14:paraId="16689B55" w14:textId="115262F6" w:rsidR="002C2E8F" w:rsidRPr="00745CF1" w:rsidRDefault="007812DA" w:rsidP="000C4340">
      <w:pPr>
        <w:pStyle w:val="NormalWeb"/>
        <w:shd w:val="clear" w:color="auto" w:fill="FFFFFF"/>
        <w:spacing w:before="0" w:beforeAutospacing="0" w:after="120" w:afterAutospacing="0"/>
        <w:ind w:firstLine="567"/>
        <w:jc w:val="both"/>
        <w:rPr>
          <w:b/>
          <w:sz w:val="28"/>
          <w:szCs w:val="28"/>
          <w:lang w:val="it-IT"/>
        </w:rPr>
      </w:pPr>
      <w:r w:rsidRPr="00745CF1">
        <w:rPr>
          <w:b/>
          <w:sz w:val="28"/>
          <w:szCs w:val="28"/>
          <w:lang w:val="vi-VN"/>
        </w:rPr>
        <w:t>2</w:t>
      </w:r>
      <w:r w:rsidR="00131A79" w:rsidRPr="00745CF1">
        <w:rPr>
          <w:b/>
          <w:sz w:val="28"/>
          <w:szCs w:val="28"/>
          <w:lang w:val="vi-VN"/>
        </w:rPr>
        <w:t xml:space="preserve">. </w:t>
      </w:r>
      <w:r w:rsidR="00131A79" w:rsidRPr="00745CF1">
        <w:rPr>
          <w:b/>
          <w:sz w:val="28"/>
          <w:szCs w:val="28"/>
          <w:lang w:val="it-IT"/>
        </w:rPr>
        <w:t>Bố cục</w:t>
      </w:r>
    </w:p>
    <w:p w14:paraId="45470F5D" w14:textId="4885F5BF" w:rsidR="008B63A9" w:rsidRPr="00745CF1" w:rsidRDefault="008B63A9" w:rsidP="000C4340">
      <w:pPr>
        <w:spacing w:after="120"/>
        <w:ind w:firstLine="567"/>
        <w:jc w:val="both"/>
        <w:rPr>
          <w:bCs/>
        </w:rPr>
      </w:pPr>
      <w:r w:rsidRPr="00745CF1">
        <w:rPr>
          <w:bCs/>
        </w:rPr>
        <w:t xml:space="preserve">Bố cục của </w:t>
      </w:r>
      <w:r w:rsidR="003F2630" w:rsidRPr="00745CF1">
        <w:rPr>
          <w:bCs/>
        </w:rPr>
        <w:t xml:space="preserve">Thông tư </w:t>
      </w:r>
      <w:r w:rsidRPr="00745CF1">
        <w:rPr>
          <w:bCs/>
        </w:rPr>
        <w:t>gồm 0</w:t>
      </w:r>
      <w:r w:rsidR="005B6ADD">
        <w:rPr>
          <w:bCs/>
        </w:rPr>
        <w:t>7</w:t>
      </w:r>
      <w:r w:rsidR="002735EE" w:rsidRPr="00745CF1">
        <w:rPr>
          <w:bCs/>
        </w:rPr>
        <w:t xml:space="preserve"> </w:t>
      </w:r>
      <w:r w:rsidRPr="00745CF1">
        <w:rPr>
          <w:bCs/>
        </w:rPr>
        <w:t>Điều, cụ thể:</w:t>
      </w:r>
    </w:p>
    <w:p w14:paraId="52253FB2" w14:textId="4362149C" w:rsidR="008B63A9" w:rsidRPr="00745CF1" w:rsidRDefault="008B63A9" w:rsidP="000C4340">
      <w:pPr>
        <w:spacing w:after="120"/>
        <w:ind w:firstLine="567"/>
        <w:jc w:val="both"/>
        <w:rPr>
          <w:bCs/>
        </w:rPr>
      </w:pPr>
      <w:r w:rsidRPr="00745CF1">
        <w:rPr>
          <w:bCs/>
        </w:rPr>
        <w:t xml:space="preserve">Điều 1. </w:t>
      </w:r>
      <w:r w:rsidR="005B6ADD">
        <w:rPr>
          <w:bCs/>
        </w:rPr>
        <w:t>Phạm vi điều chỉnh</w:t>
      </w:r>
    </w:p>
    <w:p w14:paraId="776FBC2E" w14:textId="154874CB" w:rsidR="0005264A" w:rsidRPr="00745CF1" w:rsidRDefault="005B6ADD" w:rsidP="000C4340">
      <w:pPr>
        <w:spacing w:after="120"/>
        <w:ind w:firstLine="567"/>
        <w:jc w:val="both"/>
        <w:rPr>
          <w:bCs/>
        </w:rPr>
      </w:pPr>
      <w:r w:rsidRPr="005B6ADD">
        <w:rPr>
          <w:bCs/>
        </w:rPr>
        <w:t>Điều 2. Quy định về xác định mức độ rủi ro và biện pháp quản lý đối với sản phẩm, hàng hóa là thiết bị y tế</w:t>
      </w:r>
      <w:r w:rsidR="001412AD" w:rsidRPr="00745CF1">
        <w:rPr>
          <w:bCs/>
        </w:rPr>
        <w:t xml:space="preserve"> </w:t>
      </w:r>
    </w:p>
    <w:p w14:paraId="782145A3" w14:textId="13312CA6" w:rsidR="0005264A" w:rsidRDefault="005B6ADD" w:rsidP="000C4340">
      <w:pPr>
        <w:spacing w:after="120"/>
        <w:ind w:firstLine="567"/>
        <w:jc w:val="both"/>
        <w:rPr>
          <w:bCs/>
        </w:rPr>
      </w:pPr>
      <w:r w:rsidRPr="005B6ADD">
        <w:rPr>
          <w:bCs/>
        </w:rPr>
        <w:t>Điều 3. Tạm ngưng hiệu lực về danh mục thiết bị y tế phải kiểm định an toàn và tính năng kỹ thuật thiết bị y tế</w:t>
      </w:r>
    </w:p>
    <w:p w14:paraId="40AEE6D3" w14:textId="7402BEE8" w:rsidR="005B6ADD" w:rsidRDefault="005B6ADD" w:rsidP="000C4340">
      <w:pPr>
        <w:spacing w:after="120"/>
        <w:ind w:firstLine="567"/>
        <w:jc w:val="both"/>
        <w:rPr>
          <w:bCs/>
        </w:rPr>
      </w:pPr>
      <w:r w:rsidRPr="005B6ADD">
        <w:rPr>
          <w:bCs/>
        </w:rPr>
        <w:t>Điều 4. Hiệu lực thi hành</w:t>
      </w:r>
    </w:p>
    <w:p w14:paraId="70DC4A58" w14:textId="69532EC7" w:rsidR="005B6ADD" w:rsidRDefault="005B6ADD" w:rsidP="000C4340">
      <w:pPr>
        <w:spacing w:after="120"/>
        <w:ind w:firstLine="567"/>
        <w:jc w:val="both"/>
        <w:rPr>
          <w:bCs/>
        </w:rPr>
      </w:pPr>
      <w:r w:rsidRPr="005B6ADD">
        <w:rPr>
          <w:bCs/>
        </w:rPr>
        <w:t>Điều 5. Điều khoản chuyển tiếp</w:t>
      </w:r>
    </w:p>
    <w:p w14:paraId="3EC98838" w14:textId="2AEECF9B" w:rsidR="005B6ADD" w:rsidRDefault="005B6ADD" w:rsidP="000C4340">
      <w:pPr>
        <w:spacing w:after="120"/>
        <w:ind w:firstLine="567"/>
        <w:jc w:val="both"/>
        <w:rPr>
          <w:bCs/>
        </w:rPr>
      </w:pPr>
      <w:r w:rsidRPr="005B6ADD">
        <w:rPr>
          <w:bCs/>
        </w:rPr>
        <w:t>Điều 6. Điều khoản tham chiếu</w:t>
      </w:r>
    </w:p>
    <w:p w14:paraId="4F311D2B" w14:textId="52DF1321" w:rsidR="005B6ADD" w:rsidRPr="00745CF1" w:rsidRDefault="005B6ADD" w:rsidP="000C4340">
      <w:pPr>
        <w:spacing w:after="120"/>
        <w:ind w:firstLine="567"/>
        <w:jc w:val="both"/>
        <w:rPr>
          <w:bCs/>
        </w:rPr>
      </w:pPr>
      <w:r w:rsidRPr="005B6ADD">
        <w:rPr>
          <w:bCs/>
        </w:rPr>
        <w:t>Điều 7. Tổ chức thực hiện</w:t>
      </w:r>
    </w:p>
    <w:p w14:paraId="64D0A6A8" w14:textId="62D79E89" w:rsidR="007812DA" w:rsidRPr="00745CF1" w:rsidRDefault="007812DA" w:rsidP="000C4340">
      <w:pPr>
        <w:pStyle w:val="NormalWeb"/>
        <w:shd w:val="clear" w:color="auto" w:fill="FFFFFF"/>
        <w:spacing w:before="0" w:beforeAutospacing="0" w:after="120" w:afterAutospacing="0"/>
        <w:ind w:firstLine="567"/>
        <w:jc w:val="both"/>
        <w:rPr>
          <w:b/>
          <w:sz w:val="28"/>
          <w:szCs w:val="28"/>
          <w:lang w:val="vi-VN"/>
        </w:rPr>
      </w:pPr>
      <w:r w:rsidRPr="00745CF1">
        <w:rPr>
          <w:b/>
          <w:sz w:val="28"/>
          <w:szCs w:val="28"/>
          <w:lang w:val="vi-VN"/>
        </w:rPr>
        <w:t>3. Nội dung cơ bản</w:t>
      </w:r>
    </w:p>
    <w:p w14:paraId="1A04C494" w14:textId="526FD8B8" w:rsidR="0029624C" w:rsidRPr="00745CF1" w:rsidRDefault="0029624C" w:rsidP="000C4340">
      <w:pPr>
        <w:spacing w:after="120"/>
        <w:ind w:firstLine="567"/>
        <w:jc w:val="both"/>
        <w:rPr>
          <w:lang w:val="nl-NL"/>
        </w:rPr>
      </w:pPr>
      <w:bookmarkStart w:id="0" w:name="dieu_8"/>
      <w:r w:rsidRPr="00745CF1">
        <w:rPr>
          <w:lang w:val="nl-NL"/>
        </w:rPr>
        <w:t xml:space="preserve">3.1. Nội dung </w:t>
      </w:r>
      <w:r w:rsidR="005B6ADD">
        <w:rPr>
          <w:lang w:val="nl-NL"/>
        </w:rPr>
        <w:t>quy định</w:t>
      </w:r>
      <w:r w:rsidRPr="00745CF1">
        <w:rPr>
          <w:lang w:val="nl-NL"/>
        </w:rPr>
        <w:t xml:space="preserve">: </w:t>
      </w:r>
    </w:p>
    <w:p w14:paraId="6DB698C7" w14:textId="77777777" w:rsidR="005B6ADD" w:rsidRDefault="005B6ADD" w:rsidP="005B6ADD">
      <w:pPr>
        <w:spacing w:after="120"/>
        <w:ind w:firstLine="567"/>
        <w:jc w:val="both"/>
        <w:rPr>
          <w:bCs/>
        </w:rPr>
      </w:pPr>
      <w:bookmarkStart w:id="1" w:name="_Hlk214642158"/>
      <w:bookmarkEnd w:id="0"/>
      <w:r>
        <w:rPr>
          <w:bCs/>
        </w:rPr>
        <w:t>a) Q</w:t>
      </w:r>
      <w:r w:rsidRPr="000C4340">
        <w:rPr>
          <w:bCs/>
        </w:rPr>
        <w:t xml:space="preserve">uy định việc xác định mức độ rủi ro và </w:t>
      </w:r>
      <w:r>
        <w:rPr>
          <w:bCs/>
        </w:rPr>
        <w:t xml:space="preserve">biện pháp </w:t>
      </w:r>
      <w:r w:rsidRPr="000C4340">
        <w:rPr>
          <w:bCs/>
        </w:rPr>
        <w:t>quản lý TBYT tiếp tục thực hiện theo Nghị định 98/2021/NĐ-CP để phù hợp với Điều ước quốc tế (ASEAN AMDD) và đảm bảo tính liên tục và có biện pháp, kế hoạch hài hòa với quy định của Nghị định số 37/2026/NĐ-CP</w:t>
      </w:r>
      <w:r>
        <w:rPr>
          <w:bCs/>
        </w:rPr>
        <w:t>.</w:t>
      </w:r>
    </w:p>
    <w:p w14:paraId="110FFBD0" w14:textId="77777777" w:rsidR="005B6ADD" w:rsidRDefault="005B6ADD" w:rsidP="005B6ADD">
      <w:pPr>
        <w:spacing w:after="120"/>
        <w:ind w:firstLine="567"/>
        <w:jc w:val="both"/>
        <w:rPr>
          <w:bCs/>
        </w:rPr>
      </w:pPr>
      <w:r>
        <w:rPr>
          <w:bCs/>
        </w:rPr>
        <w:t xml:space="preserve">b) </w:t>
      </w:r>
      <w:r w:rsidRPr="000C4340">
        <w:rPr>
          <w:bCs/>
        </w:rPr>
        <w:t xml:space="preserve">Cho phép </w:t>
      </w:r>
      <w:r>
        <w:rPr>
          <w:bCs/>
        </w:rPr>
        <w:t>tạm ngưng</w:t>
      </w:r>
      <w:r w:rsidRPr="000C4340">
        <w:rPr>
          <w:bCs/>
        </w:rPr>
        <w:t xml:space="preserve"> hiệu lực thi hành về danh mục và lộ trình kiểm định an toàn và tính năng kỹ thuật đối với 06 loại TBYT tại Thông tư 05/2022/TT-BYT và Thông tư 59/2025/TT-BYT</w:t>
      </w:r>
      <w:r>
        <w:rPr>
          <w:bCs/>
        </w:rPr>
        <w:t xml:space="preserve"> </w:t>
      </w:r>
      <w:r w:rsidRPr="00060396">
        <w:rPr>
          <w:iCs/>
          <w:lang w:val="pt-BR"/>
        </w:rPr>
        <w:t xml:space="preserve">trong lúc chờ sửa đổi quy định về kiểm định TBYT tại Nghị định số 98/2021/NĐ-CP </w:t>
      </w:r>
      <w:r>
        <w:rPr>
          <w:iCs/>
          <w:lang w:val="pt-BR"/>
        </w:rPr>
        <w:t>chấm dứt hiệu lực</w:t>
      </w:r>
      <w:r w:rsidRPr="00060396">
        <w:rPr>
          <w:iCs/>
          <w:lang w:val="pt-BR"/>
        </w:rPr>
        <w:t xml:space="preserve"> nội dung kiểm định </w:t>
      </w:r>
      <w:r w:rsidRPr="00060396">
        <w:rPr>
          <w:iCs/>
          <w:lang w:val="pt-BR"/>
        </w:rPr>
        <w:lastRenderedPageBreak/>
        <w:t>theo danh mục TBYT do Bộ Y tế ban hành</w:t>
      </w:r>
      <w:r>
        <w:rPr>
          <w:iCs/>
          <w:lang w:val="pt-BR"/>
        </w:rPr>
        <w:t xml:space="preserve"> để phù hợp với quy định tại Luật Chất lượng sản phẩm, hành hòa và</w:t>
      </w:r>
      <w:r w:rsidRPr="00060396">
        <w:rPr>
          <w:iCs/>
          <w:lang w:val="pt-BR"/>
        </w:rPr>
        <w:t xml:space="preserve"> xem xét đưa vào quy định tại dự thảo Luật Thiết bị y tế sau này</w:t>
      </w:r>
      <w:r>
        <w:rPr>
          <w:iCs/>
          <w:lang w:val="pt-BR"/>
        </w:rPr>
        <w:t>.</w:t>
      </w:r>
    </w:p>
    <w:p w14:paraId="5D9C5D2F" w14:textId="2D3C153C" w:rsidR="0029624C" w:rsidRPr="00745CF1" w:rsidRDefault="005B6ADD" w:rsidP="005B6ADD">
      <w:pPr>
        <w:spacing w:after="120"/>
        <w:ind w:firstLine="567"/>
        <w:jc w:val="both"/>
        <w:rPr>
          <w:i/>
          <w:iCs/>
          <w:lang w:val="nl-NL"/>
        </w:rPr>
      </w:pPr>
      <w:r>
        <w:rPr>
          <w:bCs/>
        </w:rPr>
        <w:t xml:space="preserve">c) </w:t>
      </w:r>
      <w:r w:rsidRPr="000C4340">
        <w:rPr>
          <w:bCs/>
        </w:rPr>
        <w:t>Quy định rõ việc cho phép các cơ sở y tế sử dụng TBYT chưa thực hiện kiểm định theo lộ trình cũ được quy định tại Thông tư 05/2022/TT-BYT đến ngày Thông tư 59/2025/TT-BYT có hiệu lực, với điều kiện cơ sở y tế cam kết thực hiện đầy đủ việc bảo trì, bảo dưỡng, đảm bảo thiết bị hoạt động an toàn theo quy định của Nghị định số 98/2021/NĐ-CP</w:t>
      </w:r>
      <w:r w:rsidRPr="00745CF1">
        <w:rPr>
          <w:bCs/>
        </w:rPr>
        <w:t xml:space="preserve"> </w:t>
      </w:r>
      <w:r>
        <w:rPr>
          <w:bCs/>
        </w:rPr>
        <w:t xml:space="preserve">để </w:t>
      </w:r>
      <w:r w:rsidRPr="00745CF1">
        <w:rPr>
          <w:bCs/>
        </w:rPr>
        <w:t>hạn chế đến mức tối đa ảnh hưởng của quy định về kiểm định</w:t>
      </w:r>
      <w:r>
        <w:rPr>
          <w:bCs/>
        </w:rPr>
        <w:t xml:space="preserve"> TBYT</w:t>
      </w:r>
      <w:r w:rsidRPr="00745CF1">
        <w:rPr>
          <w:bCs/>
        </w:rPr>
        <w:t xml:space="preserve"> đến hoạt động của cơ sở</w:t>
      </w:r>
      <w:r>
        <w:rPr>
          <w:bCs/>
        </w:rPr>
        <w:t xml:space="preserve"> y tế</w:t>
      </w:r>
      <w:r w:rsidRPr="00745CF1">
        <w:rPr>
          <w:bCs/>
        </w:rPr>
        <w:t>, bảo đảm quyền và lợi ích hợp pháp của người bệnh</w:t>
      </w:r>
      <w:r w:rsidRPr="00745CF1">
        <w:rPr>
          <w:lang w:val="vi-VN"/>
        </w:rPr>
        <w:t>.</w:t>
      </w:r>
    </w:p>
    <w:bookmarkEnd w:id="1"/>
    <w:p w14:paraId="5E947F3E" w14:textId="31E81306" w:rsidR="0049729E" w:rsidRPr="00745CF1" w:rsidRDefault="00B055EB" w:rsidP="000C4340">
      <w:pPr>
        <w:spacing w:after="120"/>
        <w:ind w:firstLine="567"/>
        <w:jc w:val="both"/>
        <w:rPr>
          <w:lang w:val="vi-VN"/>
        </w:rPr>
      </w:pPr>
      <w:r w:rsidRPr="00745CF1">
        <w:rPr>
          <w:iCs/>
          <w:lang w:val="vi-VN"/>
        </w:rPr>
        <w:t>3.</w:t>
      </w:r>
      <w:r w:rsidR="0029624C" w:rsidRPr="00745CF1">
        <w:rPr>
          <w:iCs/>
        </w:rPr>
        <w:t>2</w:t>
      </w:r>
      <w:r w:rsidRPr="00745CF1">
        <w:rPr>
          <w:iCs/>
          <w:lang w:val="vi-VN"/>
        </w:rPr>
        <w:t>.</w:t>
      </w:r>
      <w:r w:rsidRPr="00745CF1">
        <w:rPr>
          <w:lang w:val="vi-VN"/>
        </w:rPr>
        <w:t xml:space="preserve"> </w:t>
      </w:r>
      <w:r w:rsidR="0049729E" w:rsidRPr="00745CF1">
        <w:rPr>
          <w:lang w:val="vi-VN"/>
        </w:rPr>
        <w:t>Ngày tháng năm có hiệu lực thi hành:</w:t>
      </w:r>
    </w:p>
    <w:p w14:paraId="143AAD5C" w14:textId="710D533F" w:rsidR="00D508DE" w:rsidRDefault="005B6ADD" w:rsidP="000C4340">
      <w:pPr>
        <w:spacing w:after="120"/>
        <w:ind w:firstLine="567"/>
        <w:jc w:val="both"/>
        <w:rPr>
          <w:i/>
          <w:iCs/>
          <w:spacing w:val="-2"/>
        </w:rPr>
      </w:pPr>
      <w:r>
        <w:rPr>
          <w:lang w:val="it-IT"/>
        </w:rPr>
        <w:t xml:space="preserve">- </w:t>
      </w:r>
      <w:r w:rsidRPr="003C17B8">
        <w:rPr>
          <w:lang w:val="it-IT"/>
        </w:rPr>
        <w:t xml:space="preserve">Thông tư này có hiệu lực thi hành kể từ ngày </w:t>
      </w:r>
      <w:r>
        <w:rPr>
          <w:lang w:val="it-IT"/>
        </w:rPr>
        <w:t xml:space="preserve">01 tháng 7 năm 2026 để thực hiện theo quy định của Nghị định số 37/2026/NĐ-CP và </w:t>
      </w:r>
      <w:r w:rsidR="006D2DCD" w:rsidRPr="00745CF1">
        <w:rPr>
          <w:spacing w:val="-2"/>
          <w:lang w:val="vi-VN"/>
        </w:rPr>
        <w:t>do Thông tư</w:t>
      </w:r>
      <w:r w:rsidR="0049729E" w:rsidRPr="00745CF1">
        <w:rPr>
          <w:spacing w:val="-2"/>
          <w:lang w:val="vi-VN"/>
        </w:rPr>
        <w:t xml:space="preserve"> được xây dựng áp dụng</w:t>
      </w:r>
      <w:r w:rsidR="00B055EB" w:rsidRPr="00745CF1">
        <w:rPr>
          <w:spacing w:val="-2"/>
          <w:lang w:val="vi-VN"/>
        </w:rPr>
        <w:t xml:space="preserve"> trình tự, thủ tục rút gọn nên </w:t>
      </w:r>
      <w:r w:rsidR="00A21A69" w:rsidRPr="00745CF1">
        <w:rPr>
          <w:spacing w:val="-2"/>
          <w:lang w:val="vi-VN"/>
        </w:rPr>
        <w:t>theo</w:t>
      </w:r>
      <w:r w:rsidR="00D508DE" w:rsidRPr="00745CF1">
        <w:rPr>
          <w:spacing w:val="-2"/>
          <w:lang w:val="vi-VN"/>
        </w:rPr>
        <w:t xml:space="preserve"> quy định</w:t>
      </w:r>
      <w:r w:rsidR="0049729E" w:rsidRPr="00745CF1">
        <w:rPr>
          <w:spacing w:val="-2"/>
          <w:lang w:val="vi-VN"/>
        </w:rPr>
        <w:t xml:space="preserve"> </w:t>
      </w:r>
      <w:r w:rsidR="00D508DE" w:rsidRPr="00745CF1">
        <w:rPr>
          <w:spacing w:val="-2"/>
          <w:lang w:val="vi-VN"/>
        </w:rPr>
        <w:t xml:space="preserve">tại Điều 53 Luật Ban hành quy phạm pháp luật năm 2025 </w:t>
      </w:r>
      <w:r w:rsidR="00D508DE" w:rsidRPr="00745CF1">
        <w:rPr>
          <w:i/>
          <w:iCs/>
          <w:spacing w:val="-2"/>
          <w:lang w:val="vi-VN"/>
        </w:rPr>
        <w:t>“Trường hợp văn bản quy phạm pháp luật được xây dựng, ban hành theo trình tự, thủ tục rút gọn và trong trường hợp đặc biệt có thể có hiệu lực kể từ ngày thông qua hoặc ký ban hành”.</w:t>
      </w:r>
    </w:p>
    <w:p w14:paraId="4DAC1CD3" w14:textId="1FDA0194" w:rsidR="005B6ADD" w:rsidRPr="005B6ADD" w:rsidRDefault="005B6ADD" w:rsidP="000C4340">
      <w:pPr>
        <w:spacing w:after="120"/>
        <w:ind w:firstLine="567"/>
        <w:jc w:val="both"/>
        <w:rPr>
          <w:spacing w:val="-2"/>
        </w:rPr>
      </w:pPr>
      <w:r w:rsidRPr="005B6ADD">
        <w:rPr>
          <w:spacing w:val="-2"/>
        </w:rPr>
        <w:t>-</w:t>
      </w:r>
      <w:r>
        <w:rPr>
          <w:spacing w:val="-2"/>
        </w:rPr>
        <w:t xml:space="preserve"> </w:t>
      </w:r>
      <w:r>
        <w:rPr>
          <w:lang w:val="it-IT"/>
        </w:rPr>
        <w:t xml:space="preserve">Thông tư số </w:t>
      </w:r>
      <w:r>
        <w:rPr>
          <w:bCs/>
          <w:lang w:val="it-IT"/>
        </w:rPr>
        <w:t>59/2025/TT-BYT hết hiệu lực kể từ ngày Thông tư này có hiệu lực thi hành.</w:t>
      </w:r>
    </w:p>
    <w:p w14:paraId="65D1976B" w14:textId="70ACC1CC" w:rsidR="00246523" w:rsidRPr="00745CF1" w:rsidRDefault="00246523" w:rsidP="000C4340">
      <w:pPr>
        <w:spacing w:after="120"/>
        <w:ind w:firstLine="567"/>
        <w:jc w:val="both"/>
      </w:pPr>
      <w:r w:rsidRPr="00745CF1">
        <w:rPr>
          <w:b/>
        </w:rPr>
        <w:t xml:space="preserve">V. NHỮNG </w:t>
      </w:r>
      <w:r w:rsidR="004A527F" w:rsidRPr="00745CF1">
        <w:rPr>
          <w:b/>
          <w:lang w:val="vi-VN"/>
        </w:rPr>
        <w:t>NỘI DUNG BỔ SUNG MỚI SO VỚI DỰ THẢO VĂN BẢN GỬI THẨM ĐỊNH (NẾU CÓ)</w:t>
      </w:r>
      <w:r w:rsidRPr="00745CF1">
        <w:rPr>
          <w:b/>
        </w:rPr>
        <w:t xml:space="preserve">: </w:t>
      </w:r>
    </w:p>
    <w:p w14:paraId="7BF1F9DC" w14:textId="0E7E5071" w:rsidR="00091C85" w:rsidRPr="00EA2A47" w:rsidRDefault="00EA2A47" w:rsidP="000C4340">
      <w:pPr>
        <w:spacing w:after="120"/>
        <w:ind w:firstLine="567"/>
        <w:jc w:val="both"/>
        <w:rPr>
          <w:spacing w:val="-2"/>
          <w:lang w:val="vi-VN"/>
        </w:rPr>
      </w:pPr>
      <w:r w:rsidRPr="00EA2A47">
        <w:rPr>
          <w:spacing w:val="-2"/>
          <w:lang w:val="vi-VN"/>
        </w:rPr>
        <w:t>- Sửa Thông tư theo ý kiến thẩm định của Vụ Pháp chế.</w:t>
      </w:r>
    </w:p>
    <w:p w14:paraId="63D0BC25" w14:textId="7BF187C1" w:rsidR="00575D1D" w:rsidRPr="00745CF1" w:rsidRDefault="00575D1D" w:rsidP="000C4340">
      <w:pPr>
        <w:spacing w:after="120"/>
        <w:ind w:firstLine="567"/>
        <w:jc w:val="both"/>
        <w:rPr>
          <w:lang w:val="vi-VN"/>
        </w:rPr>
      </w:pPr>
      <w:r w:rsidRPr="00745CF1">
        <w:rPr>
          <w:b/>
          <w:bCs/>
          <w:lang w:val="vi-VN"/>
        </w:rPr>
        <w:t>VI. DỰ KIẾN NGUỒN LỰC, ĐIỀU KIỆN BẢO ĐẢM CHO VIỆC THI HÀNH THÔNG TƯ VÀ THỜI GIAN TRÌNH BAN HÀNH</w:t>
      </w:r>
    </w:p>
    <w:p w14:paraId="59CEC2D0" w14:textId="77777777" w:rsidR="00575D1D" w:rsidRPr="00745CF1" w:rsidRDefault="00575D1D" w:rsidP="000C4340">
      <w:pPr>
        <w:spacing w:after="120"/>
        <w:ind w:firstLine="567"/>
        <w:jc w:val="both"/>
        <w:rPr>
          <w:lang w:val="vi-VN"/>
        </w:rPr>
      </w:pPr>
      <w:r w:rsidRPr="00745CF1">
        <w:rPr>
          <w:b/>
          <w:bCs/>
          <w:lang w:val="vi-VN"/>
        </w:rPr>
        <w:t>1. Nguồn nhân lực:</w:t>
      </w:r>
      <w:r w:rsidRPr="00745CF1">
        <w:rPr>
          <w:lang w:val="vi-VN"/>
        </w:rPr>
        <w:t xml:space="preserve"> </w:t>
      </w:r>
    </w:p>
    <w:p w14:paraId="6C148A90" w14:textId="5C3446CF" w:rsidR="00575D1D" w:rsidRPr="00745CF1" w:rsidRDefault="00DE1A0D" w:rsidP="000C4340">
      <w:pPr>
        <w:spacing w:after="120"/>
        <w:ind w:firstLine="567"/>
        <w:jc w:val="both"/>
        <w:rPr>
          <w:lang w:val="vi-VN"/>
        </w:rPr>
      </w:pPr>
      <w:r w:rsidRPr="00745CF1">
        <w:rPr>
          <w:lang w:val="vi-VN"/>
        </w:rPr>
        <w:t>Đ</w:t>
      </w:r>
      <w:r w:rsidR="001638CE" w:rsidRPr="00745CF1">
        <w:rPr>
          <w:lang w:val="vi-VN"/>
        </w:rPr>
        <w:t>ảm bảo</w:t>
      </w:r>
      <w:r w:rsidR="00575D1D" w:rsidRPr="00745CF1">
        <w:rPr>
          <w:lang w:val="vi-VN"/>
        </w:rPr>
        <w:t xml:space="preserve"> đủ nhân lực có chuyên môn</w:t>
      </w:r>
      <w:r w:rsidR="001638CE" w:rsidRPr="00745CF1">
        <w:rPr>
          <w:lang w:val="vi-VN"/>
        </w:rPr>
        <w:t xml:space="preserve"> về</w:t>
      </w:r>
      <w:r w:rsidR="0029624C" w:rsidRPr="00745CF1">
        <w:t xml:space="preserve"> quản lý</w:t>
      </w:r>
      <w:r w:rsidR="00575D1D" w:rsidRPr="00745CF1">
        <w:rPr>
          <w:lang w:val="vi-VN"/>
        </w:rPr>
        <w:t xml:space="preserve"> thiết bị y tế</w:t>
      </w:r>
      <w:r w:rsidR="001638CE" w:rsidRPr="00745CF1">
        <w:rPr>
          <w:lang w:val="vi-VN"/>
        </w:rPr>
        <w:t xml:space="preserve"> </w:t>
      </w:r>
      <w:r w:rsidR="00575D1D" w:rsidRPr="00745CF1">
        <w:rPr>
          <w:lang w:val="vi-VN"/>
        </w:rPr>
        <w:t xml:space="preserve">tại </w:t>
      </w:r>
      <w:r w:rsidR="001638CE" w:rsidRPr="00745CF1">
        <w:rPr>
          <w:lang w:val="vi-VN"/>
        </w:rPr>
        <w:t>Cục HT&amp;TBYT để thực hiện các nhiệm vụ</w:t>
      </w:r>
      <w:r w:rsidR="0029624C" w:rsidRPr="00745CF1">
        <w:t xml:space="preserve"> </w:t>
      </w:r>
      <w:r w:rsidR="001638CE" w:rsidRPr="00745CF1">
        <w:rPr>
          <w:lang w:val="vi-VN"/>
        </w:rPr>
        <w:t xml:space="preserve">được Bộ Y tế </w:t>
      </w:r>
      <w:r w:rsidR="0029624C" w:rsidRPr="00745CF1">
        <w:t>giao</w:t>
      </w:r>
      <w:r w:rsidR="001638CE" w:rsidRPr="00745CF1">
        <w:rPr>
          <w:lang w:val="vi-VN"/>
        </w:rPr>
        <w:t xml:space="preserve"> tại Thông tư này.</w:t>
      </w:r>
    </w:p>
    <w:p w14:paraId="6B14B0D1" w14:textId="77777777" w:rsidR="00575D1D" w:rsidRPr="00745CF1" w:rsidRDefault="00575D1D" w:rsidP="000C4340">
      <w:pPr>
        <w:spacing w:after="120"/>
        <w:ind w:firstLine="567"/>
        <w:jc w:val="both"/>
        <w:rPr>
          <w:lang w:val="vi-VN"/>
        </w:rPr>
      </w:pPr>
      <w:r w:rsidRPr="00745CF1">
        <w:rPr>
          <w:b/>
          <w:bCs/>
          <w:lang w:val="vi-VN"/>
        </w:rPr>
        <w:t>2. Nguồn tài chính:</w:t>
      </w:r>
      <w:r w:rsidRPr="00745CF1">
        <w:rPr>
          <w:lang w:val="vi-VN"/>
        </w:rPr>
        <w:t xml:space="preserve"> </w:t>
      </w:r>
    </w:p>
    <w:p w14:paraId="13D04188" w14:textId="77777777" w:rsidR="00575D1D" w:rsidRPr="00745CF1" w:rsidRDefault="00575D1D" w:rsidP="000C4340">
      <w:pPr>
        <w:spacing w:after="120"/>
        <w:ind w:firstLine="567"/>
        <w:jc w:val="both"/>
        <w:rPr>
          <w:lang w:val="vi-VN"/>
        </w:rPr>
      </w:pPr>
      <w:r w:rsidRPr="00745CF1">
        <w:rPr>
          <w:lang w:val="vi-VN"/>
        </w:rPr>
        <w:t>Nguồn kinh phí từ nguồn ngân sách nhà nước và các nguồn kinh phí hợp pháp khác (nếu có) được phê duyệt theo quy định.</w:t>
      </w:r>
    </w:p>
    <w:p w14:paraId="2E996688" w14:textId="77777777" w:rsidR="00575D1D" w:rsidRPr="00745CF1" w:rsidRDefault="00575D1D" w:rsidP="000C4340">
      <w:pPr>
        <w:spacing w:after="120"/>
        <w:ind w:firstLine="567"/>
        <w:jc w:val="both"/>
      </w:pPr>
      <w:r w:rsidRPr="00745CF1">
        <w:rPr>
          <w:b/>
          <w:bCs/>
        </w:rPr>
        <w:t>3. Thời gian trình ban hành:</w:t>
      </w:r>
    </w:p>
    <w:p w14:paraId="45965DCC" w14:textId="623395ED" w:rsidR="004A527F" w:rsidRPr="00745CF1" w:rsidRDefault="00EF6BEB" w:rsidP="000C4340">
      <w:pPr>
        <w:spacing w:after="120"/>
        <w:ind w:firstLine="567"/>
        <w:jc w:val="both"/>
      </w:pPr>
      <w:r w:rsidRPr="00745CF1">
        <w:t>S</w:t>
      </w:r>
      <w:r w:rsidR="00575D1D" w:rsidRPr="00745CF1">
        <w:t>au khi tiếp thu ý kiến thẩm định</w:t>
      </w:r>
      <w:r w:rsidRPr="00745CF1">
        <w:t xml:space="preserve"> của Vụ Pháp chế</w:t>
      </w:r>
      <w:r w:rsidR="00575D1D" w:rsidRPr="00745CF1">
        <w:t>,</w:t>
      </w:r>
      <w:r w:rsidRPr="00745CF1">
        <w:t xml:space="preserve"> ý kiến góp ý của Ban Thường vụ, Cục HT&amp;TBYT đã hoàn thiện lại dự thảo Thông tư.</w:t>
      </w:r>
      <w:r w:rsidR="00575D1D" w:rsidRPr="00745CF1">
        <w:t xml:space="preserve"> Cục HT&amp;TBYT </w:t>
      </w:r>
      <w:r w:rsidRPr="00745CF1">
        <w:t xml:space="preserve">kính </w:t>
      </w:r>
      <w:r w:rsidR="00575D1D" w:rsidRPr="00745CF1">
        <w:t xml:space="preserve">trình </w:t>
      </w:r>
      <w:r w:rsidR="0029624C" w:rsidRPr="00745CF1">
        <w:t>Bộ trưởng</w:t>
      </w:r>
      <w:r w:rsidRPr="00745CF1">
        <w:t xml:space="preserve"> </w:t>
      </w:r>
      <w:r w:rsidR="00575D1D" w:rsidRPr="00745CF1">
        <w:t xml:space="preserve">xem xét, ký ban hành Thông tư và </w:t>
      </w:r>
      <w:r w:rsidRPr="00745CF1">
        <w:t xml:space="preserve">Thông tư </w:t>
      </w:r>
      <w:r w:rsidR="00575D1D" w:rsidRPr="00745CF1">
        <w:t xml:space="preserve">có hiệu lực </w:t>
      </w:r>
      <w:r w:rsidR="00DE1A0D" w:rsidRPr="00745CF1">
        <w:rPr>
          <w:lang w:val="vi-VN"/>
        </w:rPr>
        <w:t>ngay khi ban hành Thông tư</w:t>
      </w:r>
      <w:r w:rsidRPr="00745CF1">
        <w:t xml:space="preserve"> này.</w:t>
      </w:r>
    </w:p>
    <w:p w14:paraId="41720838" w14:textId="2672074F" w:rsidR="00246523" w:rsidRPr="00745CF1" w:rsidRDefault="00246523" w:rsidP="000C4340">
      <w:pPr>
        <w:spacing w:after="120"/>
        <w:ind w:firstLine="567"/>
        <w:jc w:val="both"/>
        <w:rPr>
          <w:spacing w:val="2"/>
          <w:lang w:val="vi-VN"/>
        </w:rPr>
      </w:pPr>
      <w:r w:rsidRPr="00745CF1">
        <w:rPr>
          <w:spacing w:val="2"/>
          <w:lang w:val="nl-NL"/>
        </w:rPr>
        <w:t xml:space="preserve">Trên đây là </w:t>
      </w:r>
      <w:r w:rsidR="00C760EF" w:rsidRPr="00745CF1">
        <w:rPr>
          <w:spacing w:val="2"/>
          <w:lang w:val="vi-VN"/>
        </w:rPr>
        <w:t xml:space="preserve">Tờ trình </w:t>
      </w:r>
      <w:r w:rsidR="00AD240A" w:rsidRPr="00745CF1">
        <w:rPr>
          <w:spacing w:val="2"/>
          <w:lang w:val="vi-VN"/>
        </w:rPr>
        <w:t>v</w:t>
      </w:r>
      <w:r w:rsidR="00AD240A" w:rsidRPr="00745CF1">
        <w:rPr>
          <w:bCs/>
          <w:spacing w:val="2"/>
        </w:rPr>
        <w:t xml:space="preserve">ề việc ban hành </w:t>
      </w:r>
      <w:r w:rsidR="004E4A53" w:rsidRPr="001471F4">
        <w:rPr>
          <w:i/>
          <w:iCs/>
          <w:lang w:val="vi-VN"/>
        </w:rPr>
        <w:t>Thông tư quy định về xác định mức độ rủi ro, biện pháp quản lý đối với sản phẩm, hàng hóa là thiết bị y tế và tạm ngưng hiệu lực về danh mục thiết bị y tế phải kiểm định an toàn và tính năng kỹ thuật thiết bị y tế</w:t>
      </w:r>
      <w:r w:rsidR="004E4A53">
        <w:rPr>
          <w:i/>
          <w:iCs/>
        </w:rPr>
        <w:t xml:space="preserve"> </w:t>
      </w:r>
      <w:r w:rsidR="004E4A53" w:rsidRPr="004E4A53">
        <w:t>(Có báo cáo chi tiết tại Phụ lục kèm theo)</w:t>
      </w:r>
      <w:r w:rsidRPr="00745CF1">
        <w:rPr>
          <w:bCs/>
          <w:spacing w:val="2"/>
          <w:lang w:val="vi-VN"/>
        </w:rPr>
        <w:t>,</w:t>
      </w:r>
      <w:r w:rsidRPr="00745CF1">
        <w:rPr>
          <w:spacing w:val="2"/>
          <w:lang w:val="nl-NL"/>
        </w:rPr>
        <w:t xml:space="preserve"> </w:t>
      </w:r>
      <w:r w:rsidRPr="00745CF1">
        <w:rPr>
          <w:spacing w:val="2"/>
        </w:rPr>
        <w:t xml:space="preserve">Cục HT&amp;TBYT </w:t>
      </w:r>
      <w:r w:rsidR="00970569" w:rsidRPr="00745CF1">
        <w:rPr>
          <w:spacing w:val="2"/>
          <w:lang w:val="vi-VN"/>
        </w:rPr>
        <w:t xml:space="preserve">xin </w:t>
      </w:r>
      <w:r w:rsidRPr="00745CF1">
        <w:rPr>
          <w:spacing w:val="2"/>
        </w:rPr>
        <w:t>kính trình</w:t>
      </w:r>
      <w:r w:rsidRPr="00745CF1">
        <w:rPr>
          <w:spacing w:val="2"/>
          <w:lang w:val="nl-NL"/>
        </w:rPr>
        <w:t xml:space="preserve"> </w:t>
      </w:r>
      <w:r w:rsidR="0029624C" w:rsidRPr="00745CF1">
        <w:rPr>
          <w:spacing w:val="2"/>
        </w:rPr>
        <w:t>Bộ</w:t>
      </w:r>
      <w:r w:rsidR="00EF6BEB" w:rsidRPr="00745CF1">
        <w:rPr>
          <w:spacing w:val="2"/>
        </w:rPr>
        <w:t xml:space="preserve"> trưởng</w:t>
      </w:r>
      <w:r w:rsidRPr="00745CF1">
        <w:rPr>
          <w:spacing w:val="2"/>
          <w:lang w:val="nl-NL"/>
        </w:rPr>
        <w:t xml:space="preserve"> xem xét,</w:t>
      </w:r>
      <w:r w:rsidRPr="00745CF1">
        <w:rPr>
          <w:spacing w:val="2"/>
          <w:lang w:val="vi-VN"/>
        </w:rPr>
        <w:t xml:space="preserve"> quyết định</w:t>
      </w:r>
      <w:r w:rsidRPr="00745CF1">
        <w:rPr>
          <w:spacing w:val="2"/>
        </w:rPr>
        <w:t>.</w:t>
      </w:r>
    </w:p>
    <w:p w14:paraId="379EF44E" w14:textId="5C8D56ED" w:rsidR="00246523" w:rsidRPr="00745CF1" w:rsidRDefault="00246523" w:rsidP="000C4340">
      <w:pPr>
        <w:spacing w:after="120"/>
        <w:ind w:firstLine="567"/>
        <w:jc w:val="both"/>
        <w:rPr>
          <w:lang w:val="vi-VN"/>
        </w:rPr>
      </w:pPr>
      <w:r w:rsidRPr="00745CF1">
        <w:rPr>
          <w:lang w:val="vi-VN"/>
        </w:rPr>
        <w:lastRenderedPageBreak/>
        <w:t xml:space="preserve">Trân trọng cảm ơn </w:t>
      </w:r>
      <w:r w:rsidR="0029624C" w:rsidRPr="00745CF1">
        <w:rPr>
          <w:lang w:val="en-GB"/>
        </w:rPr>
        <w:t>Bộ</w:t>
      </w:r>
      <w:r w:rsidRPr="00745CF1">
        <w:rPr>
          <w:lang w:val="vi-VN"/>
        </w:rPr>
        <w:t xml:space="preserve"> trưởng./.</w:t>
      </w:r>
    </w:p>
    <w:p w14:paraId="1F77CC9D" w14:textId="44CF1F33" w:rsidR="0022328C" w:rsidRPr="00FF1C30" w:rsidRDefault="0022328C" w:rsidP="002619E6">
      <w:pPr>
        <w:pStyle w:val="ListParagraph"/>
        <w:spacing w:line="276" w:lineRule="auto"/>
        <w:ind w:left="0" w:firstLine="720"/>
        <w:jc w:val="both"/>
        <w:rPr>
          <w:rFonts w:ascii="Times New Roman" w:hAnsi="Times New Roman" w:cs="Times New Roman"/>
          <w:i/>
          <w:sz w:val="28"/>
          <w:szCs w:val="28"/>
          <w:lang w:val="vi-VN"/>
        </w:rPr>
      </w:pPr>
      <w:r w:rsidRPr="00FF1C30">
        <w:rPr>
          <w:rFonts w:ascii="Times New Roman" w:hAnsi="Times New Roman" w:cs="Times New Roman"/>
          <w:i/>
          <w:sz w:val="28"/>
          <w:szCs w:val="28"/>
          <w:lang w:val="vi-VN"/>
        </w:rPr>
        <w:t>Tài liệu kèm theo:</w:t>
      </w:r>
    </w:p>
    <w:p w14:paraId="146BEF41" w14:textId="0BC65207" w:rsidR="00B1282B" w:rsidRPr="004E4CE4" w:rsidRDefault="00F36BEC" w:rsidP="002619E6">
      <w:pPr>
        <w:spacing w:line="276" w:lineRule="auto"/>
        <w:ind w:firstLine="720"/>
        <w:jc w:val="both"/>
        <w:rPr>
          <w:i/>
          <w:iCs/>
        </w:rPr>
      </w:pPr>
      <w:r w:rsidRPr="004E4CE4">
        <w:rPr>
          <w:i/>
          <w:iCs/>
        </w:rPr>
        <w:t>-</w:t>
      </w:r>
      <w:r w:rsidR="00FA24D1" w:rsidRPr="004E4CE4">
        <w:rPr>
          <w:i/>
          <w:iCs/>
        </w:rPr>
        <w:t xml:space="preserve"> </w:t>
      </w:r>
      <w:r w:rsidR="00246523" w:rsidRPr="004E4CE4">
        <w:rPr>
          <w:i/>
          <w:iCs/>
          <w:lang w:val="vi-VN"/>
        </w:rPr>
        <w:t>Dự thảo Thông tư</w:t>
      </w:r>
      <w:r w:rsidR="00FA24D1" w:rsidRPr="004E4CE4">
        <w:rPr>
          <w:i/>
          <w:iCs/>
        </w:rPr>
        <w:t>;</w:t>
      </w:r>
    </w:p>
    <w:p w14:paraId="5416ED98" w14:textId="77777777" w:rsidR="00B1282B" w:rsidRPr="004E4CE4" w:rsidRDefault="00B1282B" w:rsidP="002619E6">
      <w:pPr>
        <w:spacing w:line="276" w:lineRule="auto"/>
        <w:ind w:firstLine="720"/>
        <w:jc w:val="both"/>
        <w:rPr>
          <w:i/>
          <w:iCs/>
        </w:rPr>
      </w:pPr>
      <w:r w:rsidRPr="004E4CE4">
        <w:rPr>
          <w:i/>
          <w:iCs/>
        </w:rPr>
        <w:t xml:space="preserve">- </w:t>
      </w:r>
      <w:r w:rsidRPr="004E4CE4">
        <w:rPr>
          <w:i/>
          <w:iCs/>
          <w:lang w:val="vi-VN"/>
        </w:rPr>
        <w:t>Báo cáo thẩm định của Vụ Pháp chế</w:t>
      </w:r>
      <w:r w:rsidRPr="004E4CE4">
        <w:rPr>
          <w:i/>
          <w:iCs/>
        </w:rPr>
        <w:t>;</w:t>
      </w:r>
    </w:p>
    <w:p w14:paraId="52459FF9" w14:textId="0B95C580" w:rsidR="00B1282B" w:rsidRPr="004E4CE4" w:rsidRDefault="00B1282B" w:rsidP="002619E6">
      <w:pPr>
        <w:spacing w:line="276" w:lineRule="auto"/>
        <w:ind w:firstLine="720"/>
        <w:jc w:val="both"/>
        <w:rPr>
          <w:i/>
          <w:iCs/>
        </w:rPr>
      </w:pPr>
      <w:r w:rsidRPr="004E4CE4">
        <w:rPr>
          <w:i/>
          <w:iCs/>
        </w:rPr>
        <w:t>- Báo cáo giải trình, tiếp thu ý kiến thẩm định</w:t>
      </w:r>
      <w:r w:rsidRPr="004E4CE4">
        <w:rPr>
          <w:i/>
          <w:iCs/>
          <w:lang w:val="vi-VN"/>
        </w:rPr>
        <w:t xml:space="preserve"> của Vụ Pháp chế</w:t>
      </w:r>
      <w:r w:rsidRPr="004E4CE4">
        <w:rPr>
          <w:i/>
          <w:iCs/>
        </w:rPr>
        <w:t>;</w:t>
      </w:r>
    </w:p>
    <w:p w14:paraId="0BC67201" w14:textId="17D740C0" w:rsidR="00EF6BEB" w:rsidRPr="004E4CE4" w:rsidRDefault="00EF6BEB" w:rsidP="002619E6">
      <w:pPr>
        <w:spacing w:line="276" w:lineRule="auto"/>
        <w:ind w:firstLine="720"/>
        <w:jc w:val="both"/>
        <w:rPr>
          <w:i/>
          <w:iCs/>
        </w:rPr>
      </w:pPr>
      <w:r w:rsidRPr="004E4CE4">
        <w:rPr>
          <w:i/>
          <w:iCs/>
        </w:rPr>
        <w:t>- Ý kiến của Ban Thường vụ Đảng ủy Bộ Y tế;</w:t>
      </w:r>
    </w:p>
    <w:p w14:paraId="7FE7C597" w14:textId="25DA45BA" w:rsidR="00580255" w:rsidRPr="004E4CE4" w:rsidRDefault="00403915" w:rsidP="002619E6">
      <w:pPr>
        <w:spacing w:after="240" w:line="276" w:lineRule="auto"/>
        <w:ind w:firstLine="720"/>
        <w:jc w:val="both"/>
        <w:rPr>
          <w:lang w:val="vi-VN"/>
        </w:rPr>
      </w:pPr>
      <w:r w:rsidRPr="004E4CE4">
        <w:rPr>
          <w:i/>
          <w:iCs/>
          <w:spacing w:val="-4"/>
        </w:rPr>
        <w:t xml:space="preserve">- </w:t>
      </w:r>
      <w:r w:rsidR="00246523" w:rsidRPr="004E4CE4">
        <w:rPr>
          <w:i/>
          <w:iCs/>
        </w:rPr>
        <w:t>Bản tổng hợp, giải trình, tiếp thu ý kiến của cơ quan, tổ chức, cá nhân và đối tượng chịu tác động trực tiếp của Thông tư</w:t>
      </w:r>
      <w:r w:rsidR="00970569" w:rsidRPr="004E4CE4">
        <w:rPr>
          <w:i/>
          <w:iCs/>
          <w:lang w:val="vi-VN"/>
        </w:rPr>
        <w:t>.</w:t>
      </w:r>
    </w:p>
    <w:tbl>
      <w:tblPr>
        <w:tblW w:w="9072" w:type="dxa"/>
        <w:tblInd w:w="108" w:type="dxa"/>
        <w:tblLook w:val="0000" w:firstRow="0" w:lastRow="0" w:firstColumn="0" w:lastColumn="0" w:noHBand="0" w:noVBand="0"/>
      </w:tblPr>
      <w:tblGrid>
        <w:gridCol w:w="4820"/>
        <w:gridCol w:w="4252"/>
      </w:tblGrid>
      <w:tr w:rsidR="006D3ADA" w:rsidRPr="004E4CE4" w14:paraId="7C6E02B6" w14:textId="77777777" w:rsidTr="005F714E">
        <w:tc>
          <w:tcPr>
            <w:tcW w:w="4820" w:type="dxa"/>
          </w:tcPr>
          <w:p w14:paraId="705493AE" w14:textId="77777777" w:rsidR="006D3ADA" w:rsidRPr="004E4CE4" w:rsidRDefault="006D3ADA" w:rsidP="00136779">
            <w:pPr>
              <w:rPr>
                <w:rFonts w:eastAsia="SimSun"/>
                <w:b/>
                <w:bCs/>
                <w:i/>
                <w:iCs/>
                <w:sz w:val="24"/>
                <w:szCs w:val="24"/>
                <w:lang w:val="nl-NL"/>
              </w:rPr>
            </w:pPr>
            <w:r w:rsidRPr="004E4CE4">
              <w:rPr>
                <w:rFonts w:eastAsia="SimSun"/>
                <w:b/>
                <w:bCs/>
                <w:i/>
                <w:iCs/>
                <w:sz w:val="24"/>
                <w:szCs w:val="24"/>
                <w:lang w:val="nl-NL"/>
              </w:rPr>
              <w:t>Nơi nhận:</w:t>
            </w:r>
          </w:p>
          <w:p w14:paraId="77B27670" w14:textId="2D2BC777" w:rsidR="00C308B1" w:rsidRPr="004E4CE4" w:rsidRDefault="00C308B1" w:rsidP="00136779">
            <w:pPr>
              <w:rPr>
                <w:rFonts w:eastAsia="SimSun"/>
                <w:bCs/>
                <w:iCs/>
                <w:sz w:val="24"/>
                <w:szCs w:val="24"/>
                <w:lang w:val="nl-NL"/>
              </w:rPr>
            </w:pPr>
            <w:r w:rsidRPr="004E4CE4">
              <w:rPr>
                <w:rFonts w:eastAsia="SimSun"/>
                <w:bCs/>
                <w:iCs/>
                <w:sz w:val="24"/>
                <w:szCs w:val="24"/>
                <w:lang w:val="nl-NL"/>
              </w:rPr>
              <w:t>- Như trên;</w:t>
            </w:r>
          </w:p>
          <w:p w14:paraId="225700FE" w14:textId="26DB8D0B" w:rsidR="00F74B61" w:rsidRPr="004E4CE4" w:rsidRDefault="00F74B61" w:rsidP="00136779">
            <w:pPr>
              <w:rPr>
                <w:rFonts w:eastAsia="SimSun"/>
                <w:bCs/>
                <w:iCs/>
                <w:sz w:val="24"/>
                <w:szCs w:val="24"/>
                <w:lang w:val="nl-NL"/>
              </w:rPr>
            </w:pPr>
            <w:r w:rsidRPr="004E4CE4">
              <w:rPr>
                <w:rFonts w:eastAsia="SimSun"/>
                <w:bCs/>
                <w:iCs/>
                <w:sz w:val="24"/>
                <w:szCs w:val="24"/>
                <w:lang w:val="nl-NL"/>
              </w:rPr>
              <w:t>- Các đ/c Thứ trưởng (để b</w:t>
            </w:r>
            <w:r w:rsidR="009B4FB0" w:rsidRPr="004E4CE4">
              <w:rPr>
                <w:rFonts w:eastAsia="SimSun"/>
                <w:bCs/>
                <w:iCs/>
                <w:sz w:val="24"/>
                <w:szCs w:val="24"/>
                <w:lang w:val="vi-VN"/>
              </w:rPr>
              <w:t>áo cáo</w:t>
            </w:r>
            <w:r w:rsidRPr="004E4CE4">
              <w:rPr>
                <w:rFonts w:eastAsia="SimSun"/>
                <w:bCs/>
                <w:iCs/>
                <w:sz w:val="24"/>
                <w:szCs w:val="24"/>
                <w:lang w:val="nl-NL"/>
              </w:rPr>
              <w:t>);</w:t>
            </w:r>
          </w:p>
          <w:p w14:paraId="27DEBFB7" w14:textId="2CF5B55E" w:rsidR="00CF63C3" w:rsidRPr="004E4CE4" w:rsidRDefault="00CF63C3" w:rsidP="00136779">
            <w:pPr>
              <w:rPr>
                <w:rFonts w:eastAsia="SimSun"/>
                <w:sz w:val="24"/>
                <w:szCs w:val="24"/>
                <w:lang w:val="vi-VN"/>
              </w:rPr>
            </w:pPr>
            <w:r w:rsidRPr="004E4CE4">
              <w:rPr>
                <w:rFonts w:eastAsia="SimSun"/>
                <w:sz w:val="24"/>
                <w:szCs w:val="24"/>
                <w:lang w:val="nl-NL"/>
              </w:rPr>
              <w:t>- V</w:t>
            </w:r>
            <w:r w:rsidR="009B4FB0" w:rsidRPr="004E4CE4">
              <w:rPr>
                <w:rFonts w:eastAsia="SimSun"/>
                <w:sz w:val="24"/>
                <w:szCs w:val="24"/>
                <w:lang w:val="vi-VN"/>
              </w:rPr>
              <w:t>ụ pháp chế</w:t>
            </w:r>
            <w:r w:rsidR="003B7234" w:rsidRPr="004E4CE4">
              <w:rPr>
                <w:rFonts w:eastAsia="SimSun"/>
                <w:sz w:val="24"/>
                <w:szCs w:val="24"/>
                <w:lang w:val="nl-NL"/>
              </w:rPr>
              <w:t>,</w:t>
            </w:r>
            <w:r w:rsidR="00F74B61" w:rsidRPr="004E4CE4">
              <w:rPr>
                <w:rFonts w:eastAsia="SimSun"/>
                <w:sz w:val="24"/>
                <w:szCs w:val="24"/>
                <w:lang w:val="nl-NL"/>
              </w:rPr>
              <w:t xml:space="preserve"> </w:t>
            </w:r>
            <w:r w:rsidR="007A3FC5" w:rsidRPr="004E4CE4">
              <w:rPr>
                <w:rFonts w:eastAsia="SimSun"/>
                <w:sz w:val="24"/>
                <w:szCs w:val="24"/>
                <w:lang w:val="vi-VN"/>
              </w:rPr>
              <w:t>Văn phòng Bộ</w:t>
            </w:r>
            <w:r w:rsidRPr="004E4CE4">
              <w:rPr>
                <w:rFonts w:eastAsia="SimSun"/>
                <w:sz w:val="24"/>
                <w:szCs w:val="24"/>
                <w:lang w:val="nl-NL"/>
              </w:rPr>
              <w:t>;</w:t>
            </w:r>
          </w:p>
          <w:p w14:paraId="276D8894" w14:textId="35EE3A88" w:rsidR="006D3ADA" w:rsidRPr="004E4CE4" w:rsidRDefault="006D3ADA" w:rsidP="007F0C84">
            <w:pPr>
              <w:rPr>
                <w:rFonts w:eastAsia="SimSun"/>
                <w:sz w:val="24"/>
                <w:szCs w:val="24"/>
              </w:rPr>
            </w:pPr>
            <w:r w:rsidRPr="004E4CE4">
              <w:rPr>
                <w:rFonts w:eastAsia="SimSun"/>
                <w:sz w:val="24"/>
                <w:szCs w:val="24"/>
              </w:rPr>
              <w:t>- Lưu</w:t>
            </w:r>
            <w:r w:rsidR="004B68E4" w:rsidRPr="004E4CE4">
              <w:rPr>
                <w:rFonts w:eastAsia="SimSun"/>
                <w:sz w:val="24"/>
                <w:szCs w:val="24"/>
              </w:rPr>
              <w:t>:</w:t>
            </w:r>
            <w:r w:rsidRPr="004E4CE4">
              <w:rPr>
                <w:rFonts w:eastAsia="SimSun"/>
                <w:sz w:val="24"/>
                <w:szCs w:val="24"/>
              </w:rPr>
              <w:t xml:space="preserve"> VT,</w:t>
            </w:r>
            <w:r w:rsidR="009B4FB0" w:rsidRPr="004E4CE4">
              <w:rPr>
                <w:rFonts w:eastAsia="SimSun"/>
                <w:sz w:val="24"/>
                <w:szCs w:val="24"/>
                <w:lang w:val="vi-VN"/>
              </w:rPr>
              <w:t xml:space="preserve"> HTTB</w:t>
            </w:r>
            <w:r w:rsidRPr="004E4CE4">
              <w:rPr>
                <w:rFonts w:eastAsia="SimSun"/>
                <w:sz w:val="24"/>
                <w:szCs w:val="24"/>
              </w:rPr>
              <w:t>.</w:t>
            </w:r>
          </w:p>
        </w:tc>
        <w:tc>
          <w:tcPr>
            <w:tcW w:w="4252" w:type="dxa"/>
          </w:tcPr>
          <w:p w14:paraId="301D58FA" w14:textId="77777777" w:rsidR="006D3ADA" w:rsidRPr="004E4CE4" w:rsidRDefault="002F73E0" w:rsidP="00136779">
            <w:pPr>
              <w:jc w:val="center"/>
              <w:rPr>
                <w:rFonts w:eastAsia="SimSun"/>
                <w:b/>
                <w:bCs/>
              </w:rPr>
            </w:pPr>
            <w:r w:rsidRPr="004E4CE4">
              <w:rPr>
                <w:rFonts w:eastAsia="SimSun"/>
                <w:b/>
                <w:bCs/>
              </w:rPr>
              <w:t>CỤC</w:t>
            </w:r>
            <w:r w:rsidR="006D3ADA" w:rsidRPr="004E4CE4">
              <w:rPr>
                <w:rFonts w:eastAsia="SimSun"/>
                <w:b/>
                <w:bCs/>
              </w:rPr>
              <w:t xml:space="preserve"> TRƯ</w:t>
            </w:r>
            <w:r w:rsidR="006D3ADA" w:rsidRPr="004E4CE4">
              <w:rPr>
                <w:rFonts w:eastAsia="SimSun"/>
                <w:b/>
                <w:bCs/>
              </w:rPr>
              <w:softHyphen/>
              <w:t>ỞNG</w:t>
            </w:r>
          </w:p>
          <w:p w14:paraId="70EB4609" w14:textId="77777777" w:rsidR="006D3ADA" w:rsidRPr="004E4CE4" w:rsidRDefault="006D3ADA" w:rsidP="00136779">
            <w:pPr>
              <w:jc w:val="center"/>
              <w:rPr>
                <w:rFonts w:eastAsia="SimSun"/>
              </w:rPr>
            </w:pPr>
          </w:p>
          <w:p w14:paraId="0CEAB199" w14:textId="77777777" w:rsidR="00076200" w:rsidRPr="004E4CE4" w:rsidRDefault="00076200" w:rsidP="00136779">
            <w:pPr>
              <w:jc w:val="center"/>
              <w:rPr>
                <w:rFonts w:eastAsia="SimSun"/>
              </w:rPr>
            </w:pPr>
          </w:p>
          <w:p w14:paraId="22ABE478" w14:textId="77777777" w:rsidR="006D3ADA" w:rsidRPr="004E4CE4" w:rsidRDefault="006D3ADA" w:rsidP="00136779">
            <w:pPr>
              <w:jc w:val="center"/>
              <w:rPr>
                <w:rFonts w:eastAsia="SimSun"/>
              </w:rPr>
            </w:pPr>
          </w:p>
          <w:p w14:paraId="376897AD" w14:textId="77777777" w:rsidR="00C418DB" w:rsidRPr="004E4CE4" w:rsidRDefault="00C418DB" w:rsidP="00136779">
            <w:pPr>
              <w:jc w:val="center"/>
              <w:rPr>
                <w:rFonts w:eastAsia="SimSun"/>
              </w:rPr>
            </w:pPr>
          </w:p>
          <w:p w14:paraId="428F97A5" w14:textId="77777777" w:rsidR="00CF63C3" w:rsidRPr="004E4CE4" w:rsidRDefault="00CF63C3" w:rsidP="00136779">
            <w:pPr>
              <w:jc w:val="center"/>
              <w:rPr>
                <w:rFonts w:eastAsia="SimSun"/>
              </w:rPr>
            </w:pPr>
          </w:p>
          <w:p w14:paraId="19B97FF1" w14:textId="17FC5004" w:rsidR="006D3ADA" w:rsidRPr="004E4CE4" w:rsidRDefault="007A3FC5" w:rsidP="00E10263">
            <w:pPr>
              <w:jc w:val="center"/>
              <w:rPr>
                <w:rFonts w:eastAsia="SimSun"/>
                <w:b/>
                <w:bCs/>
                <w:lang w:val="vi-VN"/>
              </w:rPr>
            </w:pPr>
            <w:r w:rsidRPr="004E4CE4">
              <w:rPr>
                <w:rFonts w:eastAsia="SimSun"/>
                <w:b/>
                <w:bCs/>
                <w:lang w:val="vi-VN"/>
              </w:rPr>
              <w:t>Nguyễn Minh Lợi</w:t>
            </w:r>
          </w:p>
        </w:tc>
      </w:tr>
    </w:tbl>
    <w:p w14:paraId="7C73E185" w14:textId="37B4E7AE" w:rsidR="00F76AB8" w:rsidRDefault="00F76AB8" w:rsidP="00FB4466"/>
    <w:sectPr w:rsidR="00F76AB8" w:rsidSect="00FB4466">
      <w:headerReference w:type="default" r:id="rId12"/>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CF55" w14:textId="77777777" w:rsidR="006B0A68" w:rsidRDefault="006B0A68">
      <w:r>
        <w:separator/>
      </w:r>
    </w:p>
  </w:endnote>
  <w:endnote w:type="continuationSeparator" w:id="0">
    <w:p w14:paraId="2DF9B622" w14:textId="77777777" w:rsidR="006B0A68" w:rsidRDefault="006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D7A2" w14:textId="77777777" w:rsidR="006B0A68" w:rsidRDefault="006B0A68">
      <w:r>
        <w:separator/>
      </w:r>
    </w:p>
  </w:footnote>
  <w:footnote w:type="continuationSeparator" w:id="0">
    <w:p w14:paraId="191A478D" w14:textId="77777777" w:rsidR="006B0A68" w:rsidRDefault="006B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90010"/>
      <w:docPartObj>
        <w:docPartGallery w:val="Page Numbers (Top of Page)"/>
        <w:docPartUnique/>
      </w:docPartObj>
    </w:sdtPr>
    <w:sdtEndPr>
      <w:rPr>
        <w:rFonts w:ascii="Times New Roman" w:hAnsi="Times New Roman"/>
        <w:noProof/>
        <w:sz w:val="26"/>
        <w:szCs w:val="26"/>
      </w:rPr>
    </w:sdtEndPr>
    <w:sdtContent>
      <w:p w14:paraId="2EBA73AD" w14:textId="77777777" w:rsidR="004E4A53" w:rsidRPr="002D42CB" w:rsidRDefault="004E4A53" w:rsidP="002D42CB">
        <w:pPr>
          <w:pStyle w:val="Header"/>
          <w:jc w:val="center"/>
          <w:rPr>
            <w:rFonts w:ascii="Times New Roman" w:hAnsi="Times New Roman"/>
            <w:sz w:val="26"/>
            <w:szCs w:val="26"/>
          </w:rPr>
        </w:pPr>
        <w:r w:rsidRPr="002D42CB">
          <w:rPr>
            <w:rFonts w:ascii="Times New Roman" w:hAnsi="Times New Roman"/>
            <w:sz w:val="26"/>
            <w:szCs w:val="26"/>
          </w:rPr>
          <w:fldChar w:fldCharType="begin"/>
        </w:r>
        <w:r w:rsidRPr="002D42CB">
          <w:rPr>
            <w:rFonts w:ascii="Times New Roman" w:hAnsi="Times New Roman"/>
            <w:sz w:val="26"/>
            <w:szCs w:val="26"/>
          </w:rPr>
          <w:instrText xml:space="preserve"> PAGE   \* MERGEFORMAT </w:instrText>
        </w:r>
        <w:r w:rsidRPr="002D42CB">
          <w:rPr>
            <w:rFonts w:ascii="Times New Roman" w:hAnsi="Times New Roman"/>
            <w:sz w:val="26"/>
            <w:szCs w:val="26"/>
          </w:rPr>
          <w:fldChar w:fldCharType="separate"/>
        </w:r>
        <w:r>
          <w:rPr>
            <w:rFonts w:ascii="Times New Roman" w:hAnsi="Times New Roman"/>
            <w:noProof/>
            <w:sz w:val="26"/>
            <w:szCs w:val="26"/>
          </w:rPr>
          <w:t>8</w:t>
        </w:r>
        <w:r w:rsidRPr="002D42CB">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4269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B138FA"/>
    <w:multiLevelType w:val="multilevel"/>
    <w:tmpl w:val="1CE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44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A0F51"/>
    <w:multiLevelType w:val="multilevel"/>
    <w:tmpl w:val="8622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326F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9064C"/>
    <w:multiLevelType w:val="hybridMultilevel"/>
    <w:tmpl w:val="54DE1EAA"/>
    <w:lvl w:ilvl="0" w:tplc="8088792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7748D7"/>
    <w:multiLevelType w:val="hybridMultilevel"/>
    <w:tmpl w:val="17CE8FC0"/>
    <w:lvl w:ilvl="0" w:tplc="4E7A25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A616E17"/>
    <w:multiLevelType w:val="hybridMultilevel"/>
    <w:tmpl w:val="690423C8"/>
    <w:lvl w:ilvl="0" w:tplc="09F2E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017F5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B5365A"/>
    <w:multiLevelType w:val="hybridMultilevel"/>
    <w:tmpl w:val="3CCCD70E"/>
    <w:lvl w:ilvl="0" w:tplc="57085500">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7C66FE"/>
    <w:multiLevelType w:val="hybridMultilevel"/>
    <w:tmpl w:val="E2A46A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AD1DD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F60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E4D44"/>
    <w:multiLevelType w:val="multilevel"/>
    <w:tmpl w:val="CEA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81872"/>
    <w:multiLevelType w:val="hybridMultilevel"/>
    <w:tmpl w:val="689821AA"/>
    <w:lvl w:ilvl="0" w:tplc="B86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8B39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77258"/>
    <w:multiLevelType w:val="hybridMultilevel"/>
    <w:tmpl w:val="73D8AF76"/>
    <w:lvl w:ilvl="0" w:tplc="15329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7D464D"/>
    <w:multiLevelType w:val="multilevel"/>
    <w:tmpl w:val="9BFE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148386">
    <w:abstractNumId w:val="9"/>
  </w:num>
  <w:num w:numId="2" w16cid:durableId="1775051653">
    <w:abstractNumId w:val="10"/>
  </w:num>
  <w:num w:numId="3" w16cid:durableId="148985452">
    <w:abstractNumId w:val="0"/>
  </w:num>
  <w:num w:numId="4" w16cid:durableId="719323789">
    <w:abstractNumId w:val="6"/>
  </w:num>
  <w:num w:numId="5" w16cid:durableId="662514445">
    <w:abstractNumId w:val="5"/>
  </w:num>
  <w:num w:numId="6" w16cid:durableId="651374709">
    <w:abstractNumId w:val="14"/>
  </w:num>
  <w:num w:numId="7" w16cid:durableId="1780903769">
    <w:abstractNumId w:val="7"/>
  </w:num>
  <w:num w:numId="8" w16cid:durableId="1307078658">
    <w:abstractNumId w:val="16"/>
  </w:num>
  <w:num w:numId="9" w16cid:durableId="1955362406">
    <w:abstractNumId w:val="13"/>
  </w:num>
  <w:num w:numId="10" w16cid:durableId="1353218737">
    <w:abstractNumId w:val="1"/>
  </w:num>
  <w:num w:numId="11" w16cid:durableId="1847088646">
    <w:abstractNumId w:val="3"/>
  </w:num>
  <w:num w:numId="12" w16cid:durableId="1791316380">
    <w:abstractNumId w:val="17"/>
  </w:num>
  <w:num w:numId="13" w16cid:durableId="1287271601">
    <w:abstractNumId w:val="11"/>
  </w:num>
  <w:num w:numId="14" w16cid:durableId="1446460597">
    <w:abstractNumId w:val="15"/>
  </w:num>
  <w:num w:numId="15" w16cid:durableId="165631852">
    <w:abstractNumId w:val="12"/>
  </w:num>
  <w:num w:numId="16" w16cid:durableId="929046145">
    <w:abstractNumId w:val="4"/>
  </w:num>
  <w:num w:numId="17" w16cid:durableId="1205604142">
    <w:abstractNumId w:val="2"/>
  </w:num>
  <w:num w:numId="18" w16cid:durableId="16799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DA"/>
    <w:rsid w:val="00000381"/>
    <w:rsid w:val="000014AF"/>
    <w:rsid w:val="00001C17"/>
    <w:rsid w:val="00001D98"/>
    <w:rsid w:val="00002BCE"/>
    <w:rsid w:val="00002F9D"/>
    <w:rsid w:val="00003E71"/>
    <w:rsid w:val="000050C7"/>
    <w:rsid w:val="00006C5F"/>
    <w:rsid w:val="0001155A"/>
    <w:rsid w:val="00015FF4"/>
    <w:rsid w:val="00027345"/>
    <w:rsid w:val="000277D2"/>
    <w:rsid w:val="00030E05"/>
    <w:rsid w:val="00030FA3"/>
    <w:rsid w:val="000327DA"/>
    <w:rsid w:val="00032865"/>
    <w:rsid w:val="0003296E"/>
    <w:rsid w:val="00032E4B"/>
    <w:rsid w:val="00036147"/>
    <w:rsid w:val="000364B4"/>
    <w:rsid w:val="00036EF4"/>
    <w:rsid w:val="00036FD0"/>
    <w:rsid w:val="000417C1"/>
    <w:rsid w:val="00041831"/>
    <w:rsid w:val="00042AB5"/>
    <w:rsid w:val="00042D22"/>
    <w:rsid w:val="00046228"/>
    <w:rsid w:val="0004666A"/>
    <w:rsid w:val="00052125"/>
    <w:rsid w:val="0005264A"/>
    <w:rsid w:val="000542AD"/>
    <w:rsid w:val="0005653A"/>
    <w:rsid w:val="000607FB"/>
    <w:rsid w:val="00061A36"/>
    <w:rsid w:val="000663E0"/>
    <w:rsid w:val="000670B9"/>
    <w:rsid w:val="000714EE"/>
    <w:rsid w:val="000717EB"/>
    <w:rsid w:val="00072B79"/>
    <w:rsid w:val="00073EAD"/>
    <w:rsid w:val="00074AFD"/>
    <w:rsid w:val="00074E0B"/>
    <w:rsid w:val="00076200"/>
    <w:rsid w:val="00076CEE"/>
    <w:rsid w:val="0008081F"/>
    <w:rsid w:val="000816FB"/>
    <w:rsid w:val="00081F05"/>
    <w:rsid w:val="000847B9"/>
    <w:rsid w:val="00085BF5"/>
    <w:rsid w:val="000868B3"/>
    <w:rsid w:val="00087776"/>
    <w:rsid w:val="00087FD7"/>
    <w:rsid w:val="00091C85"/>
    <w:rsid w:val="00095872"/>
    <w:rsid w:val="000A3578"/>
    <w:rsid w:val="000B479D"/>
    <w:rsid w:val="000C03AF"/>
    <w:rsid w:val="000C0FAC"/>
    <w:rsid w:val="000C14E6"/>
    <w:rsid w:val="000C2283"/>
    <w:rsid w:val="000C4340"/>
    <w:rsid w:val="000C5EC6"/>
    <w:rsid w:val="000D0530"/>
    <w:rsid w:val="000D0779"/>
    <w:rsid w:val="000D0867"/>
    <w:rsid w:val="000D09C0"/>
    <w:rsid w:val="000D1745"/>
    <w:rsid w:val="000D25E4"/>
    <w:rsid w:val="000D3DBD"/>
    <w:rsid w:val="000D7DE6"/>
    <w:rsid w:val="000E2DE2"/>
    <w:rsid w:val="000E51C2"/>
    <w:rsid w:val="000E5244"/>
    <w:rsid w:val="000E5BF4"/>
    <w:rsid w:val="000F12B4"/>
    <w:rsid w:val="000F1580"/>
    <w:rsid w:val="000F1F0E"/>
    <w:rsid w:val="000F2CF9"/>
    <w:rsid w:val="000F524A"/>
    <w:rsid w:val="000F5707"/>
    <w:rsid w:val="00101815"/>
    <w:rsid w:val="00103455"/>
    <w:rsid w:val="00103C90"/>
    <w:rsid w:val="001045DF"/>
    <w:rsid w:val="00105C36"/>
    <w:rsid w:val="001066E7"/>
    <w:rsid w:val="0011057C"/>
    <w:rsid w:val="00111C9D"/>
    <w:rsid w:val="00112D99"/>
    <w:rsid w:val="00113A56"/>
    <w:rsid w:val="0011537F"/>
    <w:rsid w:val="00115E59"/>
    <w:rsid w:val="00117335"/>
    <w:rsid w:val="00117728"/>
    <w:rsid w:val="00120624"/>
    <w:rsid w:val="00122041"/>
    <w:rsid w:val="00122C88"/>
    <w:rsid w:val="001245EA"/>
    <w:rsid w:val="00126475"/>
    <w:rsid w:val="00127E24"/>
    <w:rsid w:val="0013029A"/>
    <w:rsid w:val="001304A4"/>
    <w:rsid w:val="00131A79"/>
    <w:rsid w:val="00133BC3"/>
    <w:rsid w:val="0013444B"/>
    <w:rsid w:val="001365DB"/>
    <w:rsid w:val="00136779"/>
    <w:rsid w:val="00137C37"/>
    <w:rsid w:val="00137F3A"/>
    <w:rsid w:val="001412AD"/>
    <w:rsid w:val="001443F9"/>
    <w:rsid w:val="001454AF"/>
    <w:rsid w:val="00145FC0"/>
    <w:rsid w:val="001460FD"/>
    <w:rsid w:val="001471F4"/>
    <w:rsid w:val="001479CD"/>
    <w:rsid w:val="00150154"/>
    <w:rsid w:val="0015079B"/>
    <w:rsid w:val="00152777"/>
    <w:rsid w:val="00152DAB"/>
    <w:rsid w:val="001530F2"/>
    <w:rsid w:val="00153227"/>
    <w:rsid w:val="0015694C"/>
    <w:rsid w:val="00162DEB"/>
    <w:rsid w:val="001638CE"/>
    <w:rsid w:val="00163C46"/>
    <w:rsid w:val="00165609"/>
    <w:rsid w:val="00166DB6"/>
    <w:rsid w:val="00175EBE"/>
    <w:rsid w:val="00177765"/>
    <w:rsid w:val="00181597"/>
    <w:rsid w:val="001848B2"/>
    <w:rsid w:val="001860DF"/>
    <w:rsid w:val="001872D3"/>
    <w:rsid w:val="001873F4"/>
    <w:rsid w:val="001877BB"/>
    <w:rsid w:val="00190230"/>
    <w:rsid w:val="00190C3F"/>
    <w:rsid w:val="00192DB3"/>
    <w:rsid w:val="00193736"/>
    <w:rsid w:val="00194554"/>
    <w:rsid w:val="001945A9"/>
    <w:rsid w:val="00195249"/>
    <w:rsid w:val="00197149"/>
    <w:rsid w:val="001A05C5"/>
    <w:rsid w:val="001A2161"/>
    <w:rsid w:val="001A4260"/>
    <w:rsid w:val="001A4517"/>
    <w:rsid w:val="001A4E1A"/>
    <w:rsid w:val="001A72A9"/>
    <w:rsid w:val="001A7C55"/>
    <w:rsid w:val="001B1CFB"/>
    <w:rsid w:val="001B248A"/>
    <w:rsid w:val="001B4CF0"/>
    <w:rsid w:val="001B6385"/>
    <w:rsid w:val="001B6947"/>
    <w:rsid w:val="001B7DF1"/>
    <w:rsid w:val="001C3260"/>
    <w:rsid w:val="001C32E0"/>
    <w:rsid w:val="001C476D"/>
    <w:rsid w:val="001C497C"/>
    <w:rsid w:val="001C4F41"/>
    <w:rsid w:val="001C63C9"/>
    <w:rsid w:val="001C730B"/>
    <w:rsid w:val="001D5C1D"/>
    <w:rsid w:val="001D6BBE"/>
    <w:rsid w:val="001E0A54"/>
    <w:rsid w:val="001E3574"/>
    <w:rsid w:val="001E4A2F"/>
    <w:rsid w:val="001E70B4"/>
    <w:rsid w:val="001F06D3"/>
    <w:rsid w:val="001F0FAB"/>
    <w:rsid w:val="001F2ED2"/>
    <w:rsid w:val="001F3B93"/>
    <w:rsid w:val="00200617"/>
    <w:rsid w:val="00201231"/>
    <w:rsid w:val="002018B6"/>
    <w:rsid w:val="00203113"/>
    <w:rsid w:val="00207CCD"/>
    <w:rsid w:val="002110CE"/>
    <w:rsid w:val="002154A7"/>
    <w:rsid w:val="002174A7"/>
    <w:rsid w:val="0022328C"/>
    <w:rsid w:val="00224E33"/>
    <w:rsid w:val="00230CDF"/>
    <w:rsid w:val="00231E68"/>
    <w:rsid w:val="00236AC1"/>
    <w:rsid w:val="00241733"/>
    <w:rsid w:val="00241866"/>
    <w:rsid w:val="00241EB2"/>
    <w:rsid w:val="0024210F"/>
    <w:rsid w:val="0024355F"/>
    <w:rsid w:val="002453B7"/>
    <w:rsid w:val="00245AA2"/>
    <w:rsid w:val="00245D2F"/>
    <w:rsid w:val="00246523"/>
    <w:rsid w:val="00246B30"/>
    <w:rsid w:val="0024742B"/>
    <w:rsid w:val="0025113B"/>
    <w:rsid w:val="00253793"/>
    <w:rsid w:val="002537CA"/>
    <w:rsid w:val="002619E6"/>
    <w:rsid w:val="00263F0F"/>
    <w:rsid w:val="00264569"/>
    <w:rsid w:val="00264938"/>
    <w:rsid w:val="0026621A"/>
    <w:rsid w:val="0026688F"/>
    <w:rsid w:val="0026745A"/>
    <w:rsid w:val="002735EE"/>
    <w:rsid w:val="002810C2"/>
    <w:rsid w:val="002913B6"/>
    <w:rsid w:val="002941CD"/>
    <w:rsid w:val="00294CEF"/>
    <w:rsid w:val="002951CE"/>
    <w:rsid w:val="0029624C"/>
    <w:rsid w:val="002A0229"/>
    <w:rsid w:val="002A115B"/>
    <w:rsid w:val="002A16F3"/>
    <w:rsid w:val="002A4644"/>
    <w:rsid w:val="002A6E79"/>
    <w:rsid w:val="002A748C"/>
    <w:rsid w:val="002A79A3"/>
    <w:rsid w:val="002B0FB4"/>
    <w:rsid w:val="002B20AD"/>
    <w:rsid w:val="002B2EE6"/>
    <w:rsid w:val="002B3055"/>
    <w:rsid w:val="002B48E9"/>
    <w:rsid w:val="002B5E67"/>
    <w:rsid w:val="002B6538"/>
    <w:rsid w:val="002C0D08"/>
    <w:rsid w:val="002C2AE1"/>
    <w:rsid w:val="002C2E8F"/>
    <w:rsid w:val="002C3722"/>
    <w:rsid w:val="002C3A1B"/>
    <w:rsid w:val="002C441E"/>
    <w:rsid w:val="002C49DF"/>
    <w:rsid w:val="002C669A"/>
    <w:rsid w:val="002D0DD2"/>
    <w:rsid w:val="002D12E1"/>
    <w:rsid w:val="002D1574"/>
    <w:rsid w:val="002D17BA"/>
    <w:rsid w:val="002D1F45"/>
    <w:rsid w:val="002D27BD"/>
    <w:rsid w:val="002D2A71"/>
    <w:rsid w:val="002D2F04"/>
    <w:rsid w:val="002D42CB"/>
    <w:rsid w:val="002D5FC0"/>
    <w:rsid w:val="002D7833"/>
    <w:rsid w:val="002D7DB4"/>
    <w:rsid w:val="002E01E8"/>
    <w:rsid w:val="002E1413"/>
    <w:rsid w:val="002E2D30"/>
    <w:rsid w:val="002E2EAA"/>
    <w:rsid w:val="002E37D7"/>
    <w:rsid w:val="002E3D96"/>
    <w:rsid w:val="002E655E"/>
    <w:rsid w:val="002E6C55"/>
    <w:rsid w:val="002F0DDC"/>
    <w:rsid w:val="002F0E2A"/>
    <w:rsid w:val="002F3FC5"/>
    <w:rsid w:val="002F6750"/>
    <w:rsid w:val="002F6E9A"/>
    <w:rsid w:val="002F73E0"/>
    <w:rsid w:val="00303281"/>
    <w:rsid w:val="00304AF4"/>
    <w:rsid w:val="00305D8C"/>
    <w:rsid w:val="0030764A"/>
    <w:rsid w:val="00310328"/>
    <w:rsid w:val="0031166D"/>
    <w:rsid w:val="0031198C"/>
    <w:rsid w:val="00312CC7"/>
    <w:rsid w:val="003136B6"/>
    <w:rsid w:val="003149C9"/>
    <w:rsid w:val="0031606B"/>
    <w:rsid w:val="00323884"/>
    <w:rsid w:val="00325180"/>
    <w:rsid w:val="003258C7"/>
    <w:rsid w:val="00326B50"/>
    <w:rsid w:val="003276A9"/>
    <w:rsid w:val="0033290D"/>
    <w:rsid w:val="00340240"/>
    <w:rsid w:val="00340C0D"/>
    <w:rsid w:val="00340FA1"/>
    <w:rsid w:val="0034114B"/>
    <w:rsid w:val="00343044"/>
    <w:rsid w:val="003439EA"/>
    <w:rsid w:val="003449BA"/>
    <w:rsid w:val="003508AB"/>
    <w:rsid w:val="003509CC"/>
    <w:rsid w:val="00351FAF"/>
    <w:rsid w:val="00352CE7"/>
    <w:rsid w:val="00356CB3"/>
    <w:rsid w:val="00357D74"/>
    <w:rsid w:val="00362BDC"/>
    <w:rsid w:val="00365F25"/>
    <w:rsid w:val="0037143E"/>
    <w:rsid w:val="00377B41"/>
    <w:rsid w:val="003806F8"/>
    <w:rsid w:val="00381ACD"/>
    <w:rsid w:val="00383DF2"/>
    <w:rsid w:val="003933BC"/>
    <w:rsid w:val="0039355F"/>
    <w:rsid w:val="00393829"/>
    <w:rsid w:val="003A05B4"/>
    <w:rsid w:val="003B122E"/>
    <w:rsid w:val="003B47A2"/>
    <w:rsid w:val="003B7234"/>
    <w:rsid w:val="003B74DA"/>
    <w:rsid w:val="003C1269"/>
    <w:rsid w:val="003C5419"/>
    <w:rsid w:val="003C6168"/>
    <w:rsid w:val="003C676D"/>
    <w:rsid w:val="003D08AE"/>
    <w:rsid w:val="003D2B88"/>
    <w:rsid w:val="003D3D7E"/>
    <w:rsid w:val="003D54FD"/>
    <w:rsid w:val="003D5EA1"/>
    <w:rsid w:val="003D64E9"/>
    <w:rsid w:val="003D68C9"/>
    <w:rsid w:val="003D6F23"/>
    <w:rsid w:val="003E22B0"/>
    <w:rsid w:val="003E272E"/>
    <w:rsid w:val="003E2E75"/>
    <w:rsid w:val="003E3CB2"/>
    <w:rsid w:val="003E4DA4"/>
    <w:rsid w:val="003E610E"/>
    <w:rsid w:val="003E762D"/>
    <w:rsid w:val="003F05A8"/>
    <w:rsid w:val="003F0D80"/>
    <w:rsid w:val="003F2630"/>
    <w:rsid w:val="003F4F87"/>
    <w:rsid w:val="003F50EF"/>
    <w:rsid w:val="003F5170"/>
    <w:rsid w:val="003F5F46"/>
    <w:rsid w:val="003F70D9"/>
    <w:rsid w:val="003F73DB"/>
    <w:rsid w:val="003F7C27"/>
    <w:rsid w:val="00402AB4"/>
    <w:rsid w:val="00402D3D"/>
    <w:rsid w:val="004034EA"/>
    <w:rsid w:val="00403915"/>
    <w:rsid w:val="00403916"/>
    <w:rsid w:val="00404A03"/>
    <w:rsid w:val="00405A73"/>
    <w:rsid w:val="00405AE5"/>
    <w:rsid w:val="00405F40"/>
    <w:rsid w:val="0041176E"/>
    <w:rsid w:val="004140B9"/>
    <w:rsid w:val="00414A9D"/>
    <w:rsid w:val="00415A8D"/>
    <w:rsid w:val="00416BBB"/>
    <w:rsid w:val="0042127F"/>
    <w:rsid w:val="00422B30"/>
    <w:rsid w:val="00422C7D"/>
    <w:rsid w:val="004261C0"/>
    <w:rsid w:val="00426720"/>
    <w:rsid w:val="00427D77"/>
    <w:rsid w:val="00427E23"/>
    <w:rsid w:val="0043061D"/>
    <w:rsid w:val="00430DF2"/>
    <w:rsid w:val="00431EAE"/>
    <w:rsid w:val="00433F14"/>
    <w:rsid w:val="00434897"/>
    <w:rsid w:val="0043578F"/>
    <w:rsid w:val="00440380"/>
    <w:rsid w:val="00441208"/>
    <w:rsid w:val="00441A2B"/>
    <w:rsid w:val="00441E0E"/>
    <w:rsid w:val="00442359"/>
    <w:rsid w:val="0044524D"/>
    <w:rsid w:val="00447AAB"/>
    <w:rsid w:val="004502C7"/>
    <w:rsid w:val="00450565"/>
    <w:rsid w:val="00455FEF"/>
    <w:rsid w:val="00457A90"/>
    <w:rsid w:val="004615E4"/>
    <w:rsid w:val="004617AD"/>
    <w:rsid w:val="00465C56"/>
    <w:rsid w:val="00466AD4"/>
    <w:rsid w:val="00467459"/>
    <w:rsid w:val="004720E3"/>
    <w:rsid w:val="0047319A"/>
    <w:rsid w:val="0047550C"/>
    <w:rsid w:val="0048103A"/>
    <w:rsid w:val="00481682"/>
    <w:rsid w:val="004830F8"/>
    <w:rsid w:val="00483655"/>
    <w:rsid w:val="00483754"/>
    <w:rsid w:val="004854DD"/>
    <w:rsid w:val="004864DB"/>
    <w:rsid w:val="00486962"/>
    <w:rsid w:val="00487427"/>
    <w:rsid w:val="00491C32"/>
    <w:rsid w:val="00492342"/>
    <w:rsid w:val="004923CB"/>
    <w:rsid w:val="00492A40"/>
    <w:rsid w:val="0049729E"/>
    <w:rsid w:val="004A1043"/>
    <w:rsid w:val="004A1C30"/>
    <w:rsid w:val="004A428B"/>
    <w:rsid w:val="004A527F"/>
    <w:rsid w:val="004A6D8D"/>
    <w:rsid w:val="004B0FE4"/>
    <w:rsid w:val="004B1591"/>
    <w:rsid w:val="004B1FB0"/>
    <w:rsid w:val="004B2699"/>
    <w:rsid w:val="004B4E02"/>
    <w:rsid w:val="004B61FC"/>
    <w:rsid w:val="004B68E4"/>
    <w:rsid w:val="004B6DDB"/>
    <w:rsid w:val="004C12A6"/>
    <w:rsid w:val="004C1CC9"/>
    <w:rsid w:val="004C2511"/>
    <w:rsid w:val="004C4D37"/>
    <w:rsid w:val="004C639F"/>
    <w:rsid w:val="004C758F"/>
    <w:rsid w:val="004C798B"/>
    <w:rsid w:val="004D2676"/>
    <w:rsid w:val="004D28B7"/>
    <w:rsid w:val="004D3A73"/>
    <w:rsid w:val="004D627C"/>
    <w:rsid w:val="004D7AD0"/>
    <w:rsid w:val="004E4A53"/>
    <w:rsid w:val="004E4CE4"/>
    <w:rsid w:val="004E69C0"/>
    <w:rsid w:val="004E7E14"/>
    <w:rsid w:val="004F202C"/>
    <w:rsid w:val="004F2B23"/>
    <w:rsid w:val="004F4A9D"/>
    <w:rsid w:val="004F5453"/>
    <w:rsid w:val="004F7564"/>
    <w:rsid w:val="004F7CF8"/>
    <w:rsid w:val="00500391"/>
    <w:rsid w:val="00501BF6"/>
    <w:rsid w:val="00501DC8"/>
    <w:rsid w:val="005075D7"/>
    <w:rsid w:val="00507F1D"/>
    <w:rsid w:val="00513C0E"/>
    <w:rsid w:val="005148A6"/>
    <w:rsid w:val="0052056F"/>
    <w:rsid w:val="005237F7"/>
    <w:rsid w:val="00523825"/>
    <w:rsid w:val="00533BE9"/>
    <w:rsid w:val="00534288"/>
    <w:rsid w:val="00534394"/>
    <w:rsid w:val="0053659A"/>
    <w:rsid w:val="0053709E"/>
    <w:rsid w:val="005409E6"/>
    <w:rsid w:val="0054168B"/>
    <w:rsid w:val="005435D2"/>
    <w:rsid w:val="00543DD8"/>
    <w:rsid w:val="00543FD7"/>
    <w:rsid w:val="00547060"/>
    <w:rsid w:val="00547D1A"/>
    <w:rsid w:val="0055217E"/>
    <w:rsid w:val="00553726"/>
    <w:rsid w:val="00557011"/>
    <w:rsid w:val="0055770D"/>
    <w:rsid w:val="0056097D"/>
    <w:rsid w:val="00561525"/>
    <w:rsid w:val="00561F38"/>
    <w:rsid w:val="00563B80"/>
    <w:rsid w:val="0056442A"/>
    <w:rsid w:val="00575D1D"/>
    <w:rsid w:val="00576687"/>
    <w:rsid w:val="00580255"/>
    <w:rsid w:val="00581868"/>
    <w:rsid w:val="00582128"/>
    <w:rsid w:val="00583DB7"/>
    <w:rsid w:val="00584C22"/>
    <w:rsid w:val="00585C7F"/>
    <w:rsid w:val="00590585"/>
    <w:rsid w:val="00590EB9"/>
    <w:rsid w:val="005918BC"/>
    <w:rsid w:val="00591E75"/>
    <w:rsid w:val="00592306"/>
    <w:rsid w:val="00593EA2"/>
    <w:rsid w:val="005940FB"/>
    <w:rsid w:val="005A1EE5"/>
    <w:rsid w:val="005A224E"/>
    <w:rsid w:val="005A2AA1"/>
    <w:rsid w:val="005A5081"/>
    <w:rsid w:val="005A5B6C"/>
    <w:rsid w:val="005A5BA1"/>
    <w:rsid w:val="005B1EC9"/>
    <w:rsid w:val="005B21BD"/>
    <w:rsid w:val="005B27C9"/>
    <w:rsid w:val="005B29C5"/>
    <w:rsid w:val="005B5197"/>
    <w:rsid w:val="005B6ADD"/>
    <w:rsid w:val="005C0E5C"/>
    <w:rsid w:val="005C1EB2"/>
    <w:rsid w:val="005C40B0"/>
    <w:rsid w:val="005C574E"/>
    <w:rsid w:val="005C5A58"/>
    <w:rsid w:val="005D18B5"/>
    <w:rsid w:val="005D220E"/>
    <w:rsid w:val="005D6D1C"/>
    <w:rsid w:val="005E041F"/>
    <w:rsid w:val="005E05C3"/>
    <w:rsid w:val="005E1D95"/>
    <w:rsid w:val="005E31F6"/>
    <w:rsid w:val="005E433C"/>
    <w:rsid w:val="005E535D"/>
    <w:rsid w:val="005E5807"/>
    <w:rsid w:val="005E6A5A"/>
    <w:rsid w:val="005E6A7A"/>
    <w:rsid w:val="005E6E02"/>
    <w:rsid w:val="005F4268"/>
    <w:rsid w:val="005F714E"/>
    <w:rsid w:val="005F7F03"/>
    <w:rsid w:val="006020BD"/>
    <w:rsid w:val="0060342C"/>
    <w:rsid w:val="00604A0E"/>
    <w:rsid w:val="00613CB3"/>
    <w:rsid w:val="00613E77"/>
    <w:rsid w:val="00617262"/>
    <w:rsid w:val="00620096"/>
    <w:rsid w:val="00620A48"/>
    <w:rsid w:val="00620CC9"/>
    <w:rsid w:val="00622C70"/>
    <w:rsid w:val="00626D04"/>
    <w:rsid w:val="00632388"/>
    <w:rsid w:val="00634CB2"/>
    <w:rsid w:val="00636A04"/>
    <w:rsid w:val="006403C0"/>
    <w:rsid w:val="00640CF2"/>
    <w:rsid w:val="00642151"/>
    <w:rsid w:val="00642A9C"/>
    <w:rsid w:val="00642DDB"/>
    <w:rsid w:val="006441F8"/>
    <w:rsid w:val="00645D4A"/>
    <w:rsid w:val="006463AB"/>
    <w:rsid w:val="00650E12"/>
    <w:rsid w:val="006522A0"/>
    <w:rsid w:val="00652AEE"/>
    <w:rsid w:val="006538B0"/>
    <w:rsid w:val="00655CBB"/>
    <w:rsid w:val="00655E90"/>
    <w:rsid w:val="00656A16"/>
    <w:rsid w:val="0065726C"/>
    <w:rsid w:val="0066193B"/>
    <w:rsid w:val="0066683C"/>
    <w:rsid w:val="00670D50"/>
    <w:rsid w:val="006717D4"/>
    <w:rsid w:val="0067544E"/>
    <w:rsid w:val="006800EE"/>
    <w:rsid w:val="00682AED"/>
    <w:rsid w:val="00685212"/>
    <w:rsid w:val="006936A9"/>
    <w:rsid w:val="00696512"/>
    <w:rsid w:val="00696E47"/>
    <w:rsid w:val="006A2C65"/>
    <w:rsid w:val="006A3111"/>
    <w:rsid w:val="006A3A82"/>
    <w:rsid w:val="006A4F2D"/>
    <w:rsid w:val="006A5AA0"/>
    <w:rsid w:val="006A6F84"/>
    <w:rsid w:val="006B0A68"/>
    <w:rsid w:val="006B1559"/>
    <w:rsid w:val="006B2DF9"/>
    <w:rsid w:val="006B2F6B"/>
    <w:rsid w:val="006B3E2F"/>
    <w:rsid w:val="006B44E3"/>
    <w:rsid w:val="006B4E44"/>
    <w:rsid w:val="006C0058"/>
    <w:rsid w:val="006C062B"/>
    <w:rsid w:val="006C3CC9"/>
    <w:rsid w:val="006C5726"/>
    <w:rsid w:val="006C6352"/>
    <w:rsid w:val="006C7345"/>
    <w:rsid w:val="006D01A4"/>
    <w:rsid w:val="006D0FBA"/>
    <w:rsid w:val="006D2DCD"/>
    <w:rsid w:val="006D3ADA"/>
    <w:rsid w:val="006D49C0"/>
    <w:rsid w:val="006D5307"/>
    <w:rsid w:val="006D547F"/>
    <w:rsid w:val="006D6895"/>
    <w:rsid w:val="006E1D37"/>
    <w:rsid w:val="006E1F1A"/>
    <w:rsid w:val="006E4A49"/>
    <w:rsid w:val="006E59E6"/>
    <w:rsid w:val="006F23A9"/>
    <w:rsid w:val="006F2905"/>
    <w:rsid w:val="006F5D48"/>
    <w:rsid w:val="006F748F"/>
    <w:rsid w:val="00701E78"/>
    <w:rsid w:val="00702539"/>
    <w:rsid w:val="00704D03"/>
    <w:rsid w:val="00706E59"/>
    <w:rsid w:val="0071116E"/>
    <w:rsid w:val="007119A9"/>
    <w:rsid w:val="0071313B"/>
    <w:rsid w:val="007145ED"/>
    <w:rsid w:val="00714EE9"/>
    <w:rsid w:val="0071577F"/>
    <w:rsid w:val="00715EBC"/>
    <w:rsid w:val="00717AC3"/>
    <w:rsid w:val="00720B35"/>
    <w:rsid w:val="00720B4A"/>
    <w:rsid w:val="00724F3D"/>
    <w:rsid w:val="00725D7C"/>
    <w:rsid w:val="00726156"/>
    <w:rsid w:val="00731546"/>
    <w:rsid w:val="00731663"/>
    <w:rsid w:val="00731F2D"/>
    <w:rsid w:val="00731F6B"/>
    <w:rsid w:val="00736012"/>
    <w:rsid w:val="0074124A"/>
    <w:rsid w:val="0074145B"/>
    <w:rsid w:val="007424AE"/>
    <w:rsid w:val="0074283A"/>
    <w:rsid w:val="00745CF1"/>
    <w:rsid w:val="00751EDC"/>
    <w:rsid w:val="007528FA"/>
    <w:rsid w:val="007558BE"/>
    <w:rsid w:val="00755B8E"/>
    <w:rsid w:val="00756CDA"/>
    <w:rsid w:val="007610A7"/>
    <w:rsid w:val="00762398"/>
    <w:rsid w:val="00762E08"/>
    <w:rsid w:val="0076577C"/>
    <w:rsid w:val="00766948"/>
    <w:rsid w:val="007673EF"/>
    <w:rsid w:val="00772A28"/>
    <w:rsid w:val="00774DBF"/>
    <w:rsid w:val="00774F8C"/>
    <w:rsid w:val="007763AA"/>
    <w:rsid w:val="00777719"/>
    <w:rsid w:val="00777749"/>
    <w:rsid w:val="00780BFD"/>
    <w:rsid w:val="00780C25"/>
    <w:rsid w:val="0078125D"/>
    <w:rsid w:val="007812DA"/>
    <w:rsid w:val="0078213A"/>
    <w:rsid w:val="00784EC1"/>
    <w:rsid w:val="00785653"/>
    <w:rsid w:val="00785FF8"/>
    <w:rsid w:val="00786CBD"/>
    <w:rsid w:val="00790787"/>
    <w:rsid w:val="00790E79"/>
    <w:rsid w:val="007929A6"/>
    <w:rsid w:val="00795B76"/>
    <w:rsid w:val="00795E50"/>
    <w:rsid w:val="007A0076"/>
    <w:rsid w:val="007A03EF"/>
    <w:rsid w:val="007A0602"/>
    <w:rsid w:val="007A3A41"/>
    <w:rsid w:val="007A3FC5"/>
    <w:rsid w:val="007A40C6"/>
    <w:rsid w:val="007A48DD"/>
    <w:rsid w:val="007A4A6A"/>
    <w:rsid w:val="007A6B53"/>
    <w:rsid w:val="007A7077"/>
    <w:rsid w:val="007B2E10"/>
    <w:rsid w:val="007B2F4C"/>
    <w:rsid w:val="007B7233"/>
    <w:rsid w:val="007C0928"/>
    <w:rsid w:val="007C3954"/>
    <w:rsid w:val="007C761B"/>
    <w:rsid w:val="007D14A4"/>
    <w:rsid w:val="007D27F6"/>
    <w:rsid w:val="007D61EA"/>
    <w:rsid w:val="007E1711"/>
    <w:rsid w:val="007E28BD"/>
    <w:rsid w:val="007E4E0C"/>
    <w:rsid w:val="007E5795"/>
    <w:rsid w:val="007E64F1"/>
    <w:rsid w:val="007F02F6"/>
    <w:rsid w:val="007F0C84"/>
    <w:rsid w:val="007F3B72"/>
    <w:rsid w:val="007F3F72"/>
    <w:rsid w:val="007F5F98"/>
    <w:rsid w:val="007F6B7B"/>
    <w:rsid w:val="007F7B0B"/>
    <w:rsid w:val="00800918"/>
    <w:rsid w:val="008043E0"/>
    <w:rsid w:val="00805C76"/>
    <w:rsid w:val="008060C2"/>
    <w:rsid w:val="00811470"/>
    <w:rsid w:val="00812582"/>
    <w:rsid w:val="0081525E"/>
    <w:rsid w:val="0081650A"/>
    <w:rsid w:val="00821574"/>
    <w:rsid w:val="00821EFB"/>
    <w:rsid w:val="0082343C"/>
    <w:rsid w:val="008266AF"/>
    <w:rsid w:val="0083048F"/>
    <w:rsid w:val="00831983"/>
    <w:rsid w:val="0083332F"/>
    <w:rsid w:val="00833A5E"/>
    <w:rsid w:val="00834C1F"/>
    <w:rsid w:val="00836366"/>
    <w:rsid w:val="00836403"/>
    <w:rsid w:val="0083646F"/>
    <w:rsid w:val="00840BB9"/>
    <w:rsid w:val="00840D27"/>
    <w:rsid w:val="00841B34"/>
    <w:rsid w:val="00843182"/>
    <w:rsid w:val="0084539A"/>
    <w:rsid w:val="00850174"/>
    <w:rsid w:val="0085165F"/>
    <w:rsid w:val="008518A1"/>
    <w:rsid w:val="00852AA5"/>
    <w:rsid w:val="00852E30"/>
    <w:rsid w:val="0085397F"/>
    <w:rsid w:val="0085575D"/>
    <w:rsid w:val="00855FA4"/>
    <w:rsid w:val="00857F25"/>
    <w:rsid w:val="008603F0"/>
    <w:rsid w:val="00860424"/>
    <w:rsid w:val="00861448"/>
    <w:rsid w:val="00861E28"/>
    <w:rsid w:val="00865010"/>
    <w:rsid w:val="00865CF8"/>
    <w:rsid w:val="00866870"/>
    <w:rsid w:val="008679D7"/>
    <w:rsid w:val="0087237C"/>
    <w:rsid w:val="008740F8"/>
    <w:rsid w:val="0087785A"/>
    <w:rsid w:val="0088263F"/>
    <w:rsid w:val="00882D83"/>
    <w:rsid w:val="00883146"/>
    <w:rsid w:val="00884604"/>
    <w:rsid w:val="00885A4C"/>
    <w:rsid w:val="0089101C"/>
    <w:rsid w:val="00892225"/>
    <w:rsid w:val="00892FBD"/>
    <w:rsid w:val="00893E09"/>
    <w:rsid w:val="008958A0"/>
    <w:rsid w:val="00896019"/>
    <w:rsid w:val="0089694D"/>
    <w:rsid w:val="00897454"/>
    <w:rsid w:val="008A19B1"/>
    <w:rsid w:val="008A23DA"/>
    <w:rsid w:val="008A3FB0"/>
    <w:rsid w:val="008A5D00"/>
    <w:rsid w:val="008A5D1F"/>
    <w:rsid w:val="008A62E5"/>
    <w:rsid w:val="008A645B"/>
    <w:rsid w:val="008A72A5"/>
    <w:rsid w:val="008B1890"/>
    <w:rsid w:val="008B1AA8"/>
    <w:rsid w:val="008B3E4E"/>
    <w:rsid w:val="008B63A9"/>
    <w:rsid w:val="008B7FC8"/>
    <w:rsid w:val="008C367B"/>
    <w:rsid w:val="008C3CD7"/>
    <w:rsid w:val="008C46C9"/>
    <w:rsid w:val="008D112D"/>
    <w:rsid w:val="008D38CC"/>
    <w:rsid w:val="008D4A49"/>
    <w:rsid w:val="008D4AF6"/>
    <w:rsid w:val="008E4646"/>
    <w:rsid w:val="008E47B2"/>
    <w:rsid w:val="008E4ECF"/>
    <w:rsid w:val="008E6081"/>
    <w:rsid w:val="008E672B"/>
    <w:rsid w:val="008E7BC2"/>
    <w:rsid w:val="008F24B3"/>
    <w:rsid w:val="008F4B13"/>
    <w:rsid w:val="008F63C1"/>
    <w:rsid w:val="008F73C4"/>
    <w:rsid w:val="00905A37"/>
    <w:rsid w:val="00907C25"/>
    <w:rsid w:val="00910150"/>
    <w:rsid w:val="009173E2"/>
    <w:rsid w:val="009203C5"/>
    <w:rsid w:val="009219FB"/>
    <w:rsid w:val="00925213"/>
    <w:rsid w:val="00927C86"/>
    <w:rsid w:val="009313F4"/>
    <w:rsid w:val="00934444"/>
    <w:rsid w:val="009361F1"/>
    <w:rsid w:val="009371CE"/>
    <w:rsid w:val="009371F7"/>
    <w:rsid w:val="00941527"/>
    <w:rsid w:val="009424EF"/>
    <w:rsid w:val="0094329A"/>
    <w:rsid w:val="00943C49"/>
    <w:rsid w:val="00945F76"/>
    <w:rsid w:val="0095073E"/>
    <w:rsid w:val="00951987"/>
    <w:rsid w:val="00951A73"/>
    <w:rsid w:val="00955CB8"/>
    <w:rsid w:val="00955FD3"/>
    <w:rsid w:val="0095605C"/>
    <w:rsid w:val="009564A1"/>
    <w:rsid w:val="00956C82"/>
    <w:rsid w:val="00957765"/>
    <w:rsid w:val="0096050C"/>
    <w:rsid w:val="00960F9E"/>
    <w:rsid w:val="00961B1E"/>
    <w:rsid w:val="00962F84"/>
    <w:rsid w:val="00963BDD"/>
    <w:rsid w:val="00966B80"/>
    <w:rsid w:val="009678FD"/>
    <w:rsid w:val="00967C1C"/>
    <w:rsid w:val="00967F5A"/>
    <w:rsid w:val="00970569"/>
    <w:rsid w:val="00971F68"/>
    <w:rsid w:val="00972DFD"/>
    <w:rsid w:val="00974FBE"/>
    <w:rsid w:val="00975A33"/>
    <w:rsid w:val="00976BA9"/>
    <w:rsid w:val="009834E8"/>
    <w:rsid w:val="009845FF"/>
    <w:rsid w:val="00986582"/>
    <w:rsid w:val="00987191"/>
    <w:rsid w:val="009878AE"/>
    <w:rsid w:val="00991676"/>
    <w:rsid w:val="009917A8"/>
    <w:rsid w:val="00993358"/>
    <w:rsid w:val="009945B6"/>
    <w:rsid w:val="00994E38"/>
    <w:rsid w:val="00995359"/>
    <w:rsid w:val="009965AC"/>
    <w:rsid w:val="00996E0D"/>
    <w:rsid w:val="009A15FA"/>
    <w:rsid w:val="009A2709"/>
    <w:rsid w:val="009A342E"/>
    <w:rsid w:val="009A53B6"/>
    <w:rsid w:val="009B4FB0"/>
    <w:rsid w:val="009B5C0D"/>
    <w:rsid w:val="009C0DD3"/>
    <w:rsid w:val="009C6A53"/>
    <w:rsid w:val="009C7554"/>
    <w:rsid w:val="009C7BA8"/>
    <w:rsid w:val="009C7DA3"/>
    <w:rsid w:val="009D1179"/>
    <w:rsid w:val="009D2544"/>
    <w:rsid w:val="009D26EA"/>
    <w:rsid w:val="009D3EEE"/>
    <w:rsid w:val="009D5132"/>
    <w:rsid w:val="009D69D9"/>
    <w:rsid w:val="009E0B93"/>
    <w:rsid w:val="009E23AE"/>
    <w:rsid w:val="009E2988"/>
    <w:rsid w:val="009E4083"/>
    <w:rsid w:val="009F005F"/>
    <w:rsid w:val="009F657E"/>
    <w:rsid w:val="009F7B50"/>
    <w:rsid w:val="00A00068"/>
    <w:rsid w:val="00A02A00"/>
    <w:rsid w:val="00A02ACD"/>
    <w:rsid w:val="00A0482A"/>
    <w:rsid w:val="00A05706"/>
    <w:rsid w:val="00A0651C"/>
    <w:rsid w:val="00A06C59"/>
    <w:rsid w:val="00A11178"/>
    <w:rsid w:val="00A11BE5"/>
    <w:rsid w:val="00A12F16"/>
    <w:rsid w:val="00A17484"/>
    <w:rsid w:val="00A17D4D"/>
    <w:rsid w:val="00A207F4"/>
    <w:rsid w:val="00A219F5"/>
    <w:rsid w:val="00A21A69"/>
    <w:rsid w:val="00A30145"/>
    <w:rsid w:val="00A30B90"/>
    <w:rsid w:val="00A31CDD"/>
    <w:rsid w:val="00A36F84"/>
    <w:rsid w:val="00A371D6"/>
    <w:rsid w:val="00A37487"/>
    <w:rsid w:val="00A376B5"/>
    <w:rsid w:val="00A37A80"/>
    <w:rsid w:val="00A42983"/>
    <w:rsid w:val="00A4317C"/>
    <w:rsid w:val="00A46D67"/>
    <w:rsid w:val="00A50411"/>
    <w:rsid w:val="00A515AC"/>
    <w:rsid w:val="00A52F27"/>
    <w:rsid w:val="00A53564"/>
    <w:rsid w:val="00A5430B"/>
    <w:rsid w:val="00A561DE"/>
    <w:rsid w:val="00A575F4"/>
    <w:rsid w:val="00A6378C"/>
    <w:rsid w:val="00A665D5"/>
    <w:rsid w:val="00A667E6"/>
    <w:rsid w:val="00A70B37"/>
    <w:rsid w:val="00A71CC7"/>
    <w:rsid w:val="00A721D0"/>
    <w:rsid w:val="00A82A1A"/>
    <w:rsid w:val="00A8460D"/>
    <w:rsid w:val="00A8633A"/>
    <w:rsid w:val="00A867A8"/>
    <w:rsid w:val="00A86BF6"/>
    <w:rsid w:val="00A900DC"/>
    <w:rsid w:val="00A90A96"/>
    <w:rsid w:val="00A91793"/>
    <w:rsid w:val="00A91EB4"/>
    <w:rsid w:val="00A930B2"/>
    <w:rsid w:val="00A94F5C"/>
    <w:rsid w:val="00A97B42"/>
    <w:rsid w:val="00AA2715"/>
    <w:rsid w:val="00AA3FFF"/>
    <w:rsid w:val="00AA476B"/>
    <w:rsid w:val="00AA534D"/>
    <w:rsid w:val="00AA6479"/>
    <w:rsid w:val="00AB06A1"/>
    <w:rsid w:val="00AB35C7"/>
    <w:rsid w:val="00AB65BB"/>
    <w:rsid w:val="00AB74E7"/>
    <w:rsid w:val="00AC2006"/>
    <w:rsid w:val="00AC3838"/>
    <w:rsid w:val="00AC5B0C"/>
    <w:rsid w:val="00AD240A"/>
    <w:rsid w:val="00AD38D1"/>
    <w:rsid w:val="00AD44B8"/>
    <w:rsid w:val="00AD48A1"/>
    <w:rsid w:val="00AD762D"/>
    <w:rsid w:val="00AE4500"/>
    <w:rsid w:val="00AE5186"/>
    <w:rsid w:val="00AE5E2A"/>
    <w:rsid w:val="00AE5F9D"/>
    <w:rsid w:val="00AE69C5"/>
    <w:rsid w:val="00AE6F1C"/>
    <w:rsid w:val="00AE78C7"/>
    <w:rsid w:val="00AE7F87"/>
    <w:rsid w:val="00AF0760"/>
    <w:rsid w:val="00AF08B7"/>
    <w:rsid w:val="00AF0949"/>
    <w:rsid w:val="00AF1A53"/>
    <w:rsid w:val="00AF3D51"/>
    <w:rsid w:val="00AF765C"/>
    <w:rsid w:val="00B0480A"/>
    <w:rsid w:val="00B055EB"/>
    <w:rsid w:val="00B06530"/>
    <w:rsid w:val="00B075B0"/>
    <w:rsid w:val="00B104B4"/>
    <w:rsid w:val="00B110C7"/>
    <w:rsid w:val="00B1282B"/>
    <w:rsid w:val="00B134E4"/>
    <w:rsid w:val="00B13B07"/>
    <w:rsid w:val="00B13DC6"/>
    <w:rsid w:val="00B1454C"/>
    <w:rsid w:val="00B15433"/>
    <w:rsid w:val="00B17253"/>
    <w:rsid w:val="00B17728"/>
    <w:rsid w:val="00B17E7B"/>
    <w:rsid w:val="00B201B6"/>
    <w:rsid w:val="00B21DB0"/>
    <w:rsid w:val="00B24955"/>
    <w:rsid w:val="00B263C6"/>
    <w:rsid w:val="00B26A27"/>
    <w:rsid w:val="00B26E02"/>
    <w:rsid w:val="00B27D69"/>
    <w:rsid w:val="00B27F8D"/>
    <w:rsid w:val="00B30FE7"/>
    <w:rsid w:val="00B32A40"/>
    <w:rsid w:val="00B339EA"/>
    <w:rsid w:val="00B36528"/>
    <w:rsid w:val="00B3654D"/>
    <w:rsid w:val="00B42CA1"/>
    <w:rsid w:val="00B43734"/>
    <w:rsid w:val="00B437DC"/>
    <w:rsid w:val="00B450EA"/>
    <w:rsid w:val="00B45633"/>
    <w:rsid w:val="00B46924"/>
    <w:rsid w:val="00B47198"/>
    <w:rsid w:val="00B5029E"/>
    <w:rsid w:val="00B51A08"/>
    <w:rsid w:val="00B529E1"/>
    <w:rsid w:val="00B530B2"/>
    <w:rsid w:val="00B6017E"/>
    <w:rsid w:val="00B60EB9"/>
    <w:rsid w:val="00B62876"/>
    <w:rsid w:val="00B62FB9"/>
    <w:rsid w:val="00B63F8D"/>
    <w:rsid w:val="00B67E04"/>
    <w:rsid w:val="00B72DB7"/>
    <w:rsid w:val="00B74858"/>
    <w:rsid w:val="00B74B5E"/>
    <w:rsid w:val="00B75142"/>
    <w:rsid w:val="00B80287"/>
    <w:rsid w:val="00B816CF"/>
    <w:rsid w:val="00B82279"/>
    <w:rsid w:val="00B826A7"/>
    <w:rsid w:val="00B82DE8"/>
    <w:rsid w:val="00B832C6"/>
    <w:rsid w:val="00B839CC"/>
    <w:rsid w:val="00B83F9C"/>
    <w:rsid w:val="00B86A63"/>
    <w:rsid w:val="00B86AE3"/>
    <w:rsid w:val="00B906A6"/>
    <w:rsid w:val="00B965FC"/>
    <w:rsid w:val="00B96963"/>
    <w:rsid w:val="00BA0649"/>
    <w:rsid w:val="00BA1568"/>
    <w:rsid w:val="00BA1F1F"/>
    <w:rsid w:val="00BA2476"/>
    <w:rsid w:val="00BA2E19"/>
    <w:rsid w:val="00BA6327"/>
    <w:rsid w:val="00BA71EF"/>
    <w:rsid w:val="00BA7A15"/>
    <w:rsid w:val="00BB1BEA"/>
    <w:rsid w:val="00BB26C0"/>
    <w:rsid w:val="00BB3D5B"/>
    <w:rsid w:val="00BB40CD"/>
    <w:rsid w:val="00BB543E"/>
    <w:rsid w:val="00BB6952"/>
    <w:rsid w:val="00BB6E00"/>
    <w:rsid w:val="00BB7E44"/>
    <w:rsid w:val="00BC2B45"/>
    <w:rsid w:val="00BC4196"/>
    <w:rsid w:val="00BC6253"/>
    <w:rsid w:val="00BC635F"/>
    <w:rsid w:val="00BD4613"/>
    <w:rsid w:val="00BD5011"/>
    <w:rsid w:val="00BE2F95"/>
    <w:rsid w:val="00BE4B92"/>
    <w:rsid w:val="00BF21AD"/>
    <w:rsid w:val="00BF25E0"/>
    <w:rsid w:val="00BF2CB8"/>
    <w:rsid w:val="00BF401C"/>
    <w:rsid w:val="00BF5A88"/>
    <w:rsid w:val="00BF62FB"/>
    <w:rsid w:val="00BF68A8"/>
    <w:rsid w:val="00C01125"/>
    <w:rsid w:val="00C0288B"/>
    <w:rsid w:val="00C04121"/>
    <w:rsid w:val="00C06075"/>
    <w:rsid w:val="00C06377"/>
    <w:rsid w:val="00C076AF"/>
    <w:rsid w:val="00C11FFE"/>
    <w:rsid w:val="00C12A60"/>
    <w:rsid w:val="00C12F6F"/>
    <w:rsid w:val="00C137A5"/>
    <w:rsid w:val="00C137CD"/>
    <w:rsid w:val="00C137FA"/>
    <w:rsid w:val="00C16183"/>
    <w:rsid w:val="00C16B39"/>
    <w:rsid w:val="00C20A3C"/>
    <w:rsid w:val="00C2189E"/>
    <w:rsid w:val="00C22BA8"/>
    <w:rsid w:val="00C2366D"/>
    <w:rsid w:val="00C279E3"/>
    <w:rsid w:val="00C308B1"/>
    <w:rsid w:val="00C3169C"/>
    <w:rsid w:val="00C323D1"/>
    <w:rsid w:val="00C3519E"/>
    <w:rsid w:val="00C36A6E"/>
    <w:rsid w:val="00C40760"/>
    <w:rsid w:val="00C40F1B"/>
    <w:rsid w:val="00C41097"/>
    <w:rsid w:val="00C415F7"/>
    <w:rsid w:val="00C418DB"/>
    <w:rsid w:val="00C440FC"/>
    <w:rsid w:val="00C442E2"/>
    <w:rsid w:val="00C44E91"/>
    <w:rsid w:val="00C5230A"/>
    <w:rsid w:val="00C53D9A"/>
    <w:rsid w:val="00C61170"/>
    <w:rsid w:val="00C61CF3"/>
    <w:rsid w:val="00C630CA"/>
    <w:rsid w:val="00C634D7"/>
    <w:rsid w:val="00C7293B"/>
    <w:rsid w:val="00C74119"/>
    <w:rsid w:val="00C7592F"/>
    <w:rsid w:val="00C760EF"/>
    <w:rsid w:val="00C8045D"/>
    <w:rsid w:val="00C80A88"/>
    <w:rsid w:val="00C81D74"/>
    <w:rsid w:val="00C85B3D"/>
    <w:rsid w:val="00C90700"/>
    <w:rsid w:val="00C92591"/>
    <w:rsid w:val="00C92629"/>
    <w:rsid w:val="00C92967"/>
    <w:rsid w:val="00C93A89"/>
    <w:rsid w:val="00C94788"/>
    <w:rsid w:val="00C9651B"/>
    <w:rsid w:val="00CA03A0"/>
    <w:rsid w:val="00CA04BB"/>
    <w:rsid w:val="00CA2C83"/>
    <w:rsid w:val="00CA5BF0"/>
    <w:rsid w:val="00CB0519"/>
    <w:rsid w:val="00CB0897"/>
    <w:rsid w:val="00CB0E44"/>
    <w:rsid w:val="00CB3175"/>
    <w:rsid w:val="00CB4657"/>
    <w:rsid w:val="00CB48FB"/>
    <w:rsid w:val="00CB5964"/>
    <w:rsid w:val="00CB7169"/>
    <w:rsid w:val="00CB77F8"/>
    <w:rsid w:val="00CC2843"/>
    <w:rsid w:val="00CC330A"/>
    <w:rsid w:val="00CC63C3"/>
    <w:rsid w:val="00CC75BE"/>
    <w:rsid w:val="00CC7A19"/>
    <w:rsid w:val="00CC7FC3"/>
    <w:rsid w:val="00CD258F"/>
    <w:rsid w:val="00CD2AA6"/>
    <w:rsid w:val="00CD2B08"/>
    <w:rsid w:val="00CD2E81"/>
    <w:rsid w:val="00CD6D1C"/>
    <w:rsid w:val="00CD6E81"/>
    <w:rsid w:val="00CD77B0"/>
    <w:rsid w:val="00CE0277"/>
    <w:rsid w:val="00CE03DF"/>
    <w:rsid w:val="00CE1B22"/>
    <w:rsid w:val="00CE250D"/>
    <w:rsid w:val="00CE29DA"/>
    <w:rsid w:val="00CE2A69"/>
    <w:rsid w:val="00CE3A83"/>
    <w:rsid w:val="00CE4111"/>
    <w:rsid w:val="00CF1C5C"/>
    <w:rsid w:val="00CF20BD"/>
    <w:rsid w:val="00CF2390"/>
    <w:rsid w:val="00CF4709"/>
    <w:rsid w:val="00CF57F7"/>
    <w:rsid w:val="00CF5F50"/>
    <w:rsid w:val="00CF63C3"/>
    <w:rsid w:val="00CF66FD"/>
    <w:rsid w:val="00CF6DFB"/>
    <w:rsid w:val="00CF7552"/>
    <w:rsid w:val="00CF76EA"/>
    <w:rsid w:val="00CF7B44"/>
    <w:rsid w:val="00D003D4"/>
    <w:rsid w:val="00D03ACF"/>
    <w:rsid w:val="00D06CB3"/>
    <w:rsid w:val="00D06FFB"/>
    <w:rsid w:val="00D15B17"/>
    <w:rsid w:val="00D15C9E"/>
    <w:rsid w:val="00D16676"/>
    <w:rsid w:val="00D16CBF"/>
    <w:rsid w:val="00D24FCD"/>
    <w:rsid w:val="00D2502D"/>
    <w:rsid w:val="00D263B9"/>
    <w:rsid w:val="00D35E9E"/>
    <w:rsid w:val="00D40A69"/>
    <w:rsid w:val="00D411EE"/>
    <w:rsid w:val="00D41CD4"/>
    <w:rsid w:val="00D4366E"/>
    <w:rsid w:val="00D451C6"/>
    <w:rsid w:val="00D47844"/>
    <w:rsid w:val="00D50234"/>
    <w:rsid w:val="00D503F5"/>
    <w:rsid w:val="00D508DE"/>
    <w:rsid w:val="00D51DD0"/>
    <w:rsid w:val="00D5233B"/>
    <w:rsid w:val="00D555F2"/>
    <w:rsid w:val="00D56E21"/>
    <w:rsid w:val="00D60907"/>
    <w:rsid w:val="00D6139D"/>
    <w:rsid w:val="00D62A79"/>
    <w:rsid w:val="00D62B35"/>
    <w:rsid w:val="00D63C5A"/>
    <w:rsid w:val="00D651C5"/>
    <w:rsid w:val="00D65DA9"/>
    <w:rsid w:val="00D66C68"/>
    <w:rsid w:val="00D6793A"/>
    <w:rsid w:val="00D67DDA"/>
    <w:rsid w:val="00D70536"/>
    <w:rsid w:val="00D71958"/>
    <w:rsid w:val="00D71A0D"/>
    <w:rsid w:val="00D71A72"/>
    <w:rsid w:val="00D750AC"/>
    <w:rsid w:val="00D800C5"/>
    <w:rsid w:val="00D80708"/>
    <w:rsid w:val="00D83DBB"/>
    <w:rsid w:val="00D84DE0"/>
    <w:rsid w:val="00D85AAD"/>
    <w:rsid w:val="00D866F9"/>
    <w:rsid w:val="00D873A7"/>
    <w:rsid w:val="00D873AF"/>
    <w:rsid w:val="00D875D3"/>
    <w:rsid w:val="00D876ED"/>
    <w:rsid w:val="00D9261F"/>
    <w:rsid w:val="00D93A10"/>
    <w:rsid w:val="00D93DBC"/>
    <w:rsid w:val="00D93EB4"/>
    <w:rsid w:val="00D95A23"/>
    <w:rsid w:val="00D9652D"/>
    <w:rsid w:val="00D97DA6"/>
    <w:rsid w:val="00DA04EA"/>
    <w:rsid w:val="00DA08AE"/>
    <w:rsid w:val="00DA140A"/>
    <w:rsid w:val="00DA5537"/>
    <w:rsid w:val="00DA558B"/>
    <w:rsid w:val="00DB08C4"/>
    <w:rsid w:val="00DB1954"/>
    <w:rsid w:val="00DB1AEB"/>
    <w:rsid w:val="00DB2721"/>
    <w:rsid w:val="00DB29BD"/>
    <w:rsid w:val="00DB73EC"/>
    <w:rsid w:val="00DC056C"/>
    <w:rsid w:val="00DC670F"/>
    <w:rsid w:val="00DC70F5"/>
    <w:rsid w:val="00DC7DEE"/>
    <w:rsid w:val="00DE0D81"/>
    <w:rsid w:val="00DE1A0D"/>
    <w:rsid w:val="00DE224F"/>
    <w:rsid w:val="00DE323C"/>
    <w:rsid w:val="00DE325B"/>
    <w:rsid w:val="00DE43E6"/>
    <w:rsid w:val="00DE494B"/>
    <w:rsid w:val="00DE49B5"/>
    <w:rsid w:val="00DF07B3"/>
    <w:rsid w:val="00DF5752"/>
    <w:rsid w:val="00DF6431"/>
    <w:rsid w:val="00DF6A10"/>
    <w:rsid w:val="00DF6F8C"/>
    <w:rsid w:val="00E009C7"/>
    <w:rsid w:val="00E02995"/>
    <w:rsid w:val="00E04B47"/>
    <w:rsid w:val="00E06C8B"/>
    <w:rsid w:val="00E075C2"/>
    <w:rsid w:val="00E10263"/>
    <w:rsid w:val="00E10AB9"/>
    <w:rsid w:val="00E11A7D"/>
    <w:rsid w:val="00E14B0C"/>
    <w:rsid w:val="00E16B2E"/>
    <w:rsid w:val="00E16B41"/>
    <w:rsid w:val="00E2087D"/>
    <w:rsid w:val="00E20E7F"/>
    <w:rsid w:val="00E2208A"/>
    <w:rsid w:val="00E229AE"/>
    <w:rsid w:val="00E23E27"/>
    <w:rsid w:val="00E26A52"/>
    <w:rsid w:val="00E272E0"/>
    <w:rsid w:val="00E273F2"/>
    <w:rsid w:val="00E3036E"/>
    <w:rsid w:val="00E30D88"/>
    <w:rsid w:val="00E317C3"/>
    <w:rsid w:val="00E3220E"/>
    <w:rsid w:val="00E35175"/>
    <w:rsid w:val="00E36E23"/>
    <w:rsid w:val="00E371F0"/>
    <w:rsid w:val="00E469B4"/>
    <w:rsid w:val="00E545A4"/>
    <w:rsid w:val="00E55BB9"/>
    <w:rsid w:val="00E5741E"/>
    <w:rsid w:val="00E6031B"/>
    <w:rsid w:val="00E60C6D"/>
    <w:rsid w:val="00E6142F"/>
    <w:rsid w:val="00E653D2"/>
    <w:rsid w:val="00E7036F"/>
    <w:rsid w:val="00E72DF5"/>
    <w:rsid w:val="00E73864"/>
    <w:rsid w:val="00E76DA3"/>
    <w:rsid w:val="00E76F3A"/>
    <w:rsid w:val="00E77782"/>
    <w:rsid w:val="00E81636"/>
    <w:rsid w:val="00E8186C"/>
    <w:rsid w:val="00E84587"/>
    <w:rsid w:val="00E84C7E"/>
    <w:rsid w:val="00E84CAE"/>
    <w:rsid w:val="00E84DEE"/>
    <w:rsid w:val="00E857AF"/>
    <w:rsid w:val="00E858B7"/>
    <w:rsid w:val="00E860AE"/>
    <w:rsid w:val="00E90738"/>
    <w:rsid w:val="00E915DD"/>
    <w:rsid w:val="00E9196A"/>
    <w:rsid w:val="00E937D8"/>
    <w:rsid w:val="00E9497D"/>
    <w:rsid w:val="00E949AE"/>
    <w:rsid w:val="00E96881"/>
    <w:rsid w:val="00EA116D"/>
    <w:rsid w:val="00EA1329"/>
    <w:rsid w:val="00EA2A47"/>
    <w:rsid w:val="00EB60D0"/>
    <w:rsid w:val="00EB6C0F"/>
    <w:rsid w:val="00EB6F7F"/>
    <w:rsid w:val="00EB7651"/>
    <w:rsid w:val="00EB781B"/>
    <w:rsid w:val="00EB79F0"/>
    <w:rsid w:val="00EC096C"/>
    <w:rsid w:val="00EC1AFB"/>
    <w:rsid w:val="00EC2104"/>
    <w:rsid w:val="00EC2A59"/>
    <w:rsid w:val="00EC3661"/>
    <w:rsid w:val="00ED1E46"/>
    <w:rsid w:val="00ED417C"/>
    <w:rsid w:val="00ED45AC"/>
    <w:rsid w:val="00ED585D"/>
    <w:rsid w:val="00ED7191"/>
    <w:rsid w:val="00ED7884"/>
    <w:rsid w:val="00EE02F1"/>
    <w:rsid w:val="00EE05A8"/>
    <w:rsid w:val="00EE27D3"/>
    <w:rsid w:val="00EE29E3"/>
    <w:rsid w:val="00EE73B8"/>
    <w:rsid w:val="00EE748E"/>
    <w:rsid w:val="00EF11AC"/>
    <w:rsid w:val="00EF2D2B"/>
    <w:rsid w:val="00EF4028"/>
    <w:rsid w:val="00EF469A"/>
    <w:rsid w:val="00EF557B"/>
    <w:rsid w:val="00EF57D2"/>
    <w:rsid w:val="00EF6BEB"/>
    <w:rsid w:val="00EF72AF"/>
    <w:rsid w:val="00EF7F09"/>
    <w:rsid w:val="00F01991"/>
    <w:rsid w:val="00F024A1"/>
    <w:rsid w:val="00F03B91"/>
    <w:rsid w:val="00F0431F"/>
    <w:rsid w:val="00F05DED"/>
    <w:rsid w:val="00F10F8E"/>
    <w:rsid w:val="00F11404"/>
    <w:rsid w:val="00F11461"/>
    <w:rsid w:val="00F140F8"/>
    <w:rsid w:val="00F148F4"/>
    <w:rsid w:val="00F16630"/>
    <w:rsid w:val="00F16DF8"/>
    <w:rsid w:val="00F206B9"/>
    <w:rsid w:val="00F2239C"/>
    <w:rsid w:val="00F249D9"/>
    <w:rsid w:val="00F2713A"/>
    <w:rsid w:val="00F27F3D"/>
    <w:rsid w:val="00F31289"/>
    <w:rsid w:val="00F36BEC"/>
    <w:rsid w:val="00F42E83"/>
    <w:rsid w:val="00F4492C"/>
    <w:rsid w:val="00F46809"/>
    <w:rsid w:val="00F46EAD"/>
    <w:rsid w:val="00F47A4E"/>
    <w:rsid w:val="00F5287A"/>
    <w:rsid w:val="00F53A23"/>
    <w:rsid w:val="00F56248"/>
    <w:rsid w:val="00F57EC0"/>
    <w:rsid w:val="00F60087"/>
    <w:rsid w:val="00F60BAA"/>
    <w:rsid w:val="00F666E0"/>
    <w:rsid w:val="00F676D2"/>
    <w:rsid w:val="00F67994"/>
    <w:rsid w:val="00F67AC9"/>
    <w:rsid w:val="00F71039"/>
    <w:rsid w:val="00F74B61"/>
    <w:rsid w:val="00F76AB8"/>
    <w:rsid w:val="00F7746F"/>
    <w:rsid w:val="00F77A84"/>
    <w:rsid w:val="00F77CA1"/>
    <w:rsid w:val="00F80200"/>
    <w:rsid w:val="00F815BC"/>
    <w:rsid w:val="00F83139"/>
    <w:rsid w:val="00F85908"/>
    <w:rsid w:val="00F86487"/>
    <w:rsid w:val="00F87D2D"/>
    <w:rsid w:val="00F90104"/>
    <w:rsid w:val="00F90C27"/>
    <w:rsid w:val="00F916FA"/>
    <w:rsid w:val="00F92DF3"/>
    <w:rsid w:val="00F95477"/>
    <w:rsid w:val="00F95707"/>
    <w:rsid w:val="00F9711C"/>
    <w:rsid w:val="00F97D29"/>
    <w:rsid w:val="00F97F15"/>
    <w:rsid w:val="00FA0403"/>
    <w:rsid w:val="00FA2010"/>
    <w:rsid w:val="00FA220D"/>
    <w:rsid w:val="00FA24D1"/>
    <w:rsid w:val="00FA5A98"/>
    <w:rsid w:val="00FA7A6E"/>
    <w:rsid w:val="00FB4466"/>
    <w:rsid w:val="00FB49C7"/>
    <w:rsid w:val="00FC4187"/>
    <w:rsid w:val="00FC5993"/>
    <w:rsid w:val="00FC639A"/>
    <w:rsid w:val="00FC6CC8"/>
    <w:rsid w:val="00FD2A58"/>
    <w:rsid w:val="00FD3933"/>
    <w:rsid w:val="00FD4835"/>
    <w:rsid w:val="00FD537E"/>
    <w:rsid w:val="00FD540E"/>
    <w:rsid w:val="00FD6AB4"/>
    <w:rsid w:val="00FE1410"/>
    <w:rsid w:val="00FE2ACC"/>
    <w:rsid w:val="00FF1C30"/>
    <w:rsid w:val="00FF3726"/>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F1D0"/>
  <w15:docId w15:val="{05A71A15-357F-412E-BF63-2C8DAAC9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ADD"/>
    <w:rPr>
      <w:rFonts w:ascii="Times New Roman" w:eastAsia="Times New Roman" w:hAnsi="Times New Roman"/>
      <w:sz w:val="28"/>
      <w:szCs w:val="28"/>
    </w:rPr>
  </w:style>
  <w:style w:type="paragraph" w:styleId="Heading1">
    <w:name w:val="heading 1"/>
    <w:basedOn w:val="Normal"/>
    <w:next w:val="Normal"/>
    <w:link w:val="Heading1Char"/>
    <w:qFormat/>
    <w:rsid w:val="006D3ADA"/>
    <w:pPr>
      <w:keepNext/>
      <w:spacing w:before="120" w:line="350" w:lineRule="exact"/>
      <w:jc w:val="center"/>
      <w:outlineLvl w:val="0"/>
    </w:pPr>
    <w:rPr>
      <w:rFonts w:ascii=".VnTimeH" w:hAnsi=".VnTimeH"/>
      <w:b/>
      <w:bCs/>
      <w:sz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3ADA"/>
    <w:rPr>
      <w:rFonts w:ascii=".VnTimeH" w:eastAsia="Times New Roman" w:hAnsi=".VnTimeH" w:cs="Times New Roman"/>
      <w:b/>
      <w:bCs/>
      <w:sz w:val="32"/>
      <w:szCs w:val="28"/>
    </w:rPr>
  </w:style>
  <w:style w:type="paragraph" w:styleId="Header">
    <w:name w:val="header"/>
    <w:basedOn w:val="Normal"/>
    <w:link w:val="HeaderChar"/>
    <w:uiPriority w:val="99"/>
    <w:rsid w:val="006D3ADA"/>
    <w:pPr>
      <w:tabs>
        <w:tab w:val="center" w:pos="4320"/>
        <w:tab w:val="right" w:pos="8640"/>
      </w:tabs>
    </w:pPr>
    <w:rPr>
      <w:rFonts w:ascii=".VnTime" w:hAnsi=".VnTime"/>
      <w:szCs w:val="20"/>
      <w:lang w:val="x-none" w:eastAsia="x-none"/>
    </w:rPr>
  </w:style>
  <w:style w:type="character" w:customStyle="1" w:styleId="HeaderChar">
    <w:name w:val="Header Char"/>
    <w:link w:val="Header"/>
    <w:uiPriority w:val="99"/>
    <w:rsid w:val="006D3ADA"/>
    <w:rPr>
      <w:rFonts w:ascii=".VnTime" w:eastAsia="Times New Roman" w:hAnsi=".VnTime" w:cs="Times New Roman"/>
      <w:sz w:val="28"/>
      <w:szCs w:val="20"/>
    </w:rPr>
  </w:style>
  <w:style w:type="character" w:styleId="PageNumber">
    <w:name w:val="page number"/>
    <w:rsid w:val="006D3ADA"/>
  </w:style>
  <w:style w:type="paragraph" w:styleId="Footer">
    <w:name w:val="footer"/>
    <w:basedOn w:val="Normal"/>
    <w:link w:val="FooterChar"/>
    <w:rsid w:val="006D3ADA"/>
    <w:pPr>
      <w:tabs>
        <w:tab w:val="center" w:pos="4320"/>
        <w:tab w:val="right" w:pos="8640"/>
      </w:tabs>
    </w:pPr>
    <w:rPr>
      <w:rFonts w:ascii=".VnTime" w:hAnsi=".VnTime"/>
      <w:bCs/>
      <w:lang w:val="x-none" w:eastAsia="x-none"/>
    </w:rPr>
  </w:style>
  <w:style w:type="character" w:customStyle="1" w:styleId="FooterChar">
    <w:name w:val="Footer Char"/>
    <w:link w:val="Footer"/>
    <w:rsid w:val="006D3ADA"/>
    <w:rPr>
      <w:rFonts w:ascii=".VnTime" w:eastAsia="Times New Roman" w:hAnsi=".VnTime" w:cs="Times New Roman"/>
      <w:bCs/>
      <w:sz w:val="28"/>
      <w:szCs w:val="28"/>
    </w:rPr>
  </w:style>
  <w:style w:type="character" w:styleId="Hyperlink">
    <w:name w:val="Hyperlink"/>
    <w:rsid w:val="00F60BAA"/>
    <w:rPr>
      <w:color w:val="0000FF"/>
      <w:u w:val="single"/>
    </w:rPr>
  </w:style>
  <w:style w:type="paragraph" w:styleId="BalloonText">
    <w:name w:val="Balloon Text"/>
    <w:basedOn w:val="Normal"/>
    <w:link w:val="BalloonTextChar"/>
    <w:uiPriority w:val="99"/>
    <w:semiHidden/>
    <w:unhideWhenUsed/>
    <w:rsid w:val="00B13DC6"/>
    <w:rPr>
      <w:rFonts w:ascii="Tahoma" w:hAnsi="Tahoma"/>
      <w:sz w:val="16"/>
      <w:szCs w:val="16"/>
      <w:lang w:val="x-none" w:eastAsia="x-none"/>
    </w:rPr>
  </w:style>
  <w:style w:type="character" w:customStyle="1" w:styleId="BalloonTextChar">
    <w:name w:val="Balloon Text Char"/>
    <w:link w:val="BalloonText"/>
    <w:uiPriority w:val="99"/>
    <w:semiHidden/>
    <w:rsid w:val="00B13DC6"/>
    <w:rPr>
      <w:rFonts w:ascii="Tahoma" w:eastAsia="Times New Roman" w:hAnsi="Tahoma" w:cs="Tahoma"/>
      <w:sz w:val="16"/>
      <w:szCs w:val="16"/>
    </w:rPr>
  </w:style>
  <w:style w:type="character" w:customStyle="1" w:styleId="apple-converted-space">
    <w:name w:val="apple-converted-space"/>
    <w:basedOn w:val="DefaultParagraphFont"/>
    <w:rsid w:val="006E1F1A"/>
  </w:style>
  <w:style w:type="table" w:styleId="TableGrid">
    <w:name w:val="Table Grid"/>
    <w:basedOn w:val="TableNormal"/>
    <w:uiPriority w:val="59"/>
    <w:rsid w:val="00840B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2328C"/>
    <w:pPr>
      <w:ind w:left="720"/>
    </w:pPr>
    <w:rPr>
      <w:rFonts w:ascii="Arial" w:hAnsi="Arial" w:cs="Arial"/>
      <w:b/>
      <w:sz w:val="20"/>
      <w:szCs w:val="20"/>
      <w:lang w:val="en-GB" w:eastAsia="en-GB"/>
    </w:rPr>
  </w:style>
  <w:style w:type="paragraph" w:styleId="NormalWeb">
    <w:name w:val="Normal (Web)"/>
    <w:basedOn w:val="Normal"/>
    <w:link w:val="NormalWebChar"/>
    <w:uiPriority w:val="99"/>
    <w:unhideWhenUsed/>
    <w:qFormat/>
    <w:rsid w:val="00702539"/>
    <w:pPr>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E915DD"/>
    <w:rPr>
      <w:sz w:val="20"/>
      <w:szCs w:val="20"/>
    </w:rPr>
  </w:style>
  <w:style w:type="character" w:customStyle="1" w:styleId="EndnoteTextChar">
    <w:name w:val="Endnote Text Char"/>
    <w:link w:val="EndnoteText"/>
    <w:uiPriority w:val="99"/>
    <w:semiHidden/>
    <w:rsid w:val="00E915DD"/>
    <w:rPr>
      <w:rFonts w:ascii="Times New Roman" w:eastAsia="Times New Roman" w:hAnsi="Times New Roman"/>
    </w:rPr>
  </w:style>
  <w:style w:type="character" w:styleId="EndnoteReference">
    <w:name w:val="endnote reference"/>
    <w:uiPriority w:val="99"/>
    <w:semiHidden/>
    <w:unhideWhenUsed/>
    <w:rsid w:val="00E915DD"/>
    <w:rPr>
      <w:vertAlign w:val="superscript"/>
    </w:rPr>
  </w:style>
  <w:style w:type="paragraph" w:styleId="FootnoteText">
    <w:name w:val="footnote text"/>
    <w:aliases w:val="single space,footnote text,fn,fn Char Char Char, Char,Char Char,ALTS FOOTNOTE,FOOTNOTES,Geneva 9,Font: Geneva 9,Boston 10,f,Footnote Text Char Char Char Char Char,Footnote Text Char Char Char Char Char Char Ch,ft1,Fußnot,Fußnote"/>
    <w:basedOn w:val="Normal"/>
    <w:link w:val="FootnoteTextChar"/>
    <w:unhideWhenUsed/>
    <w:qFormat/>
    <w:rsid w:val="00E915DD"/>
    <w:rPr>
      <w:sz w:val="20"/>
      <w:szCs w:val="20"/>
    </w:rPr>
  </w:style>
  <w:style w:type="character" w:customStyle="1" w:styleId="FootnoteTextChar">
    <w:name w:val="Footnote Text Char"/>
    <w:aliases w:val="single space Char,footnote text Char,fn Char,fn Char Char Char Char, Char Char,Char Char Char,ALTS FOOTNOTE Char,FOOTNOTES Char,Geneva 9 Char,Font: Geneva 9 Char,Boston 10 Char,f Char,Footnote Text Char Char Char Char Char Char"/>
    <w:link w:val="FootnoteText"/>
    <w:qFormat/>
    <w:rsid w:val="00E915DD"/>
    <w:rPr>
      <w:rFonts w:ascii="Times New Roman" w:eastAsia="Times New Roman" w:hAnsi="Times New Roman"/>
    </w:rPr>
  </w:style>
  <w:style w:type="character" w:styleId="FootnoteReference">
    <w:name w:val="footnote reference"/>
    <w:aliases w:val="Footnote + Arial,10 pt,Footnote,ftref,(NECG) Footnote Reference,16 Point,Superscript 6 Point,BearingPoint,fr,Footnote Text Char Char Char Char Char Char Ch Char Char Char Char Char Char C,Ref,de nota al pie,Footnote Text11,Black"/>
    <w:unhideWhenUsed/>
    <w:qFormat/>
    <w:rsid w:val="00E915DD"/>
    <w:rPr>
      <w:vertAlign w:val="superscript"/>
    </w:rPr>
  </w:style>
  <w:style w:type="character" w:customStyle="1" w:styleId="fontstyle01">
    <w:name w:val="fontstyle01"/>
    <w:basedOn w:val="DefaultParagraphFont"/>
    <w:rsid w:val="00C44E91"/>
    <w:rPr>
      <w:rFonts w:ascii="TimesNewRoman" w:hAnsi="TimesNewRoman" w:hint="default"/>
      <w:b w:val="0"/>
      <w:bCs w:val="0"/>
      <w:i w:val="0"/>
      <w:iCs w:val="0"/>
      <w:color w:val="000000"/>
      <w:sz w:val="24"/>
      <w:szCs w:val="24"/>
    </w:rPr>
  </w:style>
  <w:style w:type="paragraph" w:customStyle="1" w:styleId="Body">
    <w:name w:val="Body"/>
    <w:rsid w:val="006A2C65"/>
    <w:pPr>
      <w:spacing w:before="120" w:after="120" w:line="278" w:lineRule="auto"/>
      <w:ind w:left="720" w:hanging="357"/>
      <w:jc w:val="both"/>
    </w:pPr>
    <w:rPr>
      <w:rFonts w:cs="Calibri"/>
      <w:color w:val="000000"/>
      <w:sz w:val="22"/>
      <w:szCs w:val="22"/>
      <w:u w:color="000000"/>
    </w:rPr>
  </w:style>
  <w:style w:type="character" w:customStyle="1" w:styleId="NormalWebChar">
    <w:name w:val="Normal (Web) Char"/>
    <w:link w:val="NormalWeb"/>
    <w:uiPriority w:val="99"/>
    <w:qFormat/>
    <w:locked/>
    <w:rsid w:val="00F46E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4568">
      <w:bodyDiv w:val="1"/>
      <w:marLeft w:val="0"/>
      <w:marRight w:val="0"/>
      <w:marTop w:val="0"/>
      <w:marBottom w:val="0"/>
      <w:divBdr>
        <w:top w:val="none" w:sz="0" w:space="0" w:color="auto"/>
        <w:left w:val="none" w:sz="0" w:space="0" w:color="auto"/>
        <w:bottom w:val="none" w:sz="0" w:space="0" w:color="auto"/>
        <w:right w:val="none" w:sz="0" w:space="0" w:color="auto"/>
      </w:divBdr>
    </w:div>
    <w:div w:id="447352775">
      <w:bodyDiv w:val="1"/>
      <w:marLeft w:val="0"/>
      <w:marRight w:val="0"/>
      <w:marTop w:val="0"/>
      <w:marBottom w:val="0"/>
      <w:divBdr>
        <w:top w:val="none" w:sz="0" w:space="0" w:color="auto"/>
        <w:left w:val="none" w:sz="0" w:space="0" w:color="auto"/>
        <w:bottom w:val="none" w:sz="0" w:space="0" w:color="auto"/>
        <w:right w:val="none" w:sz="0" w:space="0" w:color="auto"/>
      </w:divBdr>
    </w:div>
    <w:div w:id="803356798">
      <w:bodyDiv w:val="1"/>
      <w:marLeft w:val="0"/>
      <w:marRight w:val="0"/>
      <w:marTop w:val="0"/>
      <w:marBottom w:val="0"/>
      <w:divBdr>
        <w:top w:val="none" w:sz="0" w:space="0" w:color="auto"/>
        <w:left w:val="none" w:sz="0" w:space="0" w:color="auto"/>
        <w:bottom w:val="none" w:sz="0" w:space="0" w:color="auto"/>
        <w:right w:val="none" w:sz="0" w:space="0" w:color="auto"/>
      </w:divBdr>
    </w:div>
    <w:div w:id="814684902">
      <w:bodyDiv w:val="1"/>
      <w:marLeft w:val="0"/>
      <w:marRight w:val="0"/>
      <w:marTop w:val="0"/>
      <w:marBottom w:val="0"/>
      <w:divBdr>
        <w:top w:val="none" w:sz="0" w:space="0" w:color="auto"/>
        <w:left w:val="none" w:sz="0" w:space="0" w:color="auto"/>
        <w:bottom w:val="none" w:sz="0" w:space="0" w:color="auto"/>
        <w:right w:val="none" w:sz="0" w:space="0" w:color="auto"/>
      </w:divBdr>
    </w:div>
    <w:div w:id="1402213725">
      <w:bodyDiv w:val="1"/>
      <w:marLeft w:val="0"/>
      <w:marRight w:val="0"/>
      <w:marTop w:val="0"/>
      <w:marBottom w:val="0"/>
      <w:divBdr>
        <w:top w:val="none" w:sz="0" w:space="0" w:color="auto"/>
        <w:left w:val="none" w:sz="0" w:space="0" w:color="auto"/>
        <w:bottom w:val="none" w:sz="0" w:space="0" w:color="auto"/>
        <w:right w:val="none" w:sz="0" w:space="0" w:color="auto"/>
      </w:divBdr>
    </w:div>
    <w:div w:id="1416897002">
      <w:bodyDiv w:val="1"/>
      <w:marLeft w:val="0"/>
      <w:marRight w:val="0"/>
      <w:marTop w:val="0"/>
      <w:marBottom w:val="0"/>
      <w:divBdr>
        <w:top w:val="none" w:sz="0" w:space="0" w:color="auto"/>
        <w:left w:val="none" w:sz="0" w:space="0" w:color="auto"/>
        <w:bottom w:val="none" w:sz="0" w:space="0" w:color="auto"/>
        <w:right w:val="none" w:sz="0" w:space="0" w:color="auto"/>
      </w:divBdr>
    </w:div>
    <w:div w:id="1951934225">
      <w:bodyDiv w:val="1"/>
      <w:marLeft w:val="0"/>
      <w:marRight w:val="0"/>
      <w:marTop w:val="0"/>
      <w:marBottom w:val="0"/>
      <w:divBdr>
        <w:top w:val="none" w:sz="0" w:space="0" w:color="auto"/>
        <w:left w:val="none" w:sz="0" w:space="0" w:color="auto"/>
        <w:bottom w:val="none" w:sz="0" w:space="0" w:color="auto"/>
        <w:right w:val="none" w:sz="0" w:space="0" w:color="auto"/>
      </w:divBdr>
    </w:div>
    <w:div w:id="20494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Luat-chat-luong-san-pham-hang-hoa-2007-05-2007-QH12-5977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Luat-chat-luong-san-pham-hang-hoa-2007-05-2007-QH12-59776.aspx" TargetMode="External"/><Relationship Id="rId5" Type="http://schemas.openxmlformats.org/officeDocument/2006/relationships/webSettings" Target="webSettings.xml"/><Relationship Id="rId10" Type="http://schemas.openxmlformats.org/officeDocument/2006/relationships/hyperlink" Target="https://thuvienphapluat.vn/van-ban/Thuong-mai/Luat-chat-luong-san-pham-hang-hoa-2007-05-2007-QH12-59776.aspx" TargetMode="External"/><Relationship Id="rId4" Type="http://schemas.openxmlformats.org/officeDocument/2006/relationships/settings" Target="settings.xml"/><Relationship Id="rId9" Type="http://schemas.openxmlformats.org/officeDocument/2006/relationships/hyperlink" Target="https://thuvienphapluat.vn/van-ban/Thuong-mai/Luat-chat-luong-san-pham-hang-hoa-2007-05-2007-QH12-5977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57ECF-5F99-4778-8295-5E704225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Grizli777</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admin</dc:creator>
  <cp:lastModifiedBy>Dzung Bui</cp:lastModifiedBy>
  <cp:revision>2</cp:revision>
  <cp:lastPrinted>2025-11-17T04:59:00Z</cp:lastPrinted>
  <dcterms:created xsi:type="dcterms:W3CDTF">2026-06-19T04:25:00Z</dcterms:created>
  <dcterms:modified xsi:type="dcterms:W3CDTF">2026-06-19T04:25:00Z</dcterms:modified>
</cp:coreProperties>
</file>